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8A" w:rsidRDefault="0042258A">
      <w:pPr>
        <w:rPr>
          <w:sz w:val="28"/>
          <w:szCs w:val="28"/>
        </w:rPr>
      </w:pPr>
    </w:p>
    <w:p w:rsidR="008D7822" w:rsidRPr="00181B10" w:rsidRDefault="0042258A" w:rsidP="00181B10">
      <w:pPr>
        <w:jc w:val="center"/>
        <w:rPr>
          <w:b/>
          <w:sz w:val="28"/>
          <w:szCs w:val="28"/>
        </w:rPr>
      </w:pPr>
      <w:r w:rsidRPr="00181B10">
        <w:rPr>
          <w:rFonts w:hint="eastAsia"/>
          <w:b/>
          <w:sz w:val="28"/>
          <w:szCs w:val="28"/>
        </w:rPr>
        <w:t>经济增长稳中趋缓</w:t>
      </w:r>
      <w:r w:rsidRPr="00181B10">
        <w:rPr>
          <w:rFonts w:hint="eastAsia"/>
          <w:b/>
          <w:sz w:val="28"/>
          <w:szCs w:val="28"/>
        </w:rPr>
        <w:t xml:space="preserve">  </w:t>
      </w:r>
      <w:r w:rsidR="00181B10" w:rsidRPr="00181B10">
        <w:rPr>
          <w:rFonts w:hint="eastAsia"/>
          <w:b/>
          <w:sz w:val="28"/>
          <w:szCs w:val="28"/>
        </w:rPr>
        <w:t>贸易战</w:t>
      </w:r>
      <w:r w:rsidR="00181B10">
        <w:rPr>
          <w:rFonts w:hint="eastAsia"/>
          <w:b/>
          <w:sz w:val="28"/>
          <w:szCs w:val="28"/>
        </w:rPr>
        <w:t>端</w:t>
      </w:r>
      <w:r w:rsidR="00181B10" w:rsidRPr="00181B10">
        <w:rPr>
          <w:rFonts w:hint="eastAsia"/>
          <w:b/>
          <w:sz w:val="28"/>
          <w:szCs w:val="28"/>
        </w:rPr>
        <w:t>影响显现</w:t>
      </w:r>
    </w:p>
    <w:p w:rsidR="008D7822" w:rsidRPr="00181B10" w:rsidRDefault="008D7822" w:rsidP="00181B10">
      <w:pPr>
        <w:jc w:val="center"/>
        <w:rPr>
          <w:b/>
          <w:sz w:val="28"/>
          <w:szCs w:val="28"/>
        </w:rPr>
      </w:pPr>
      <w:r w:rsidRPr="00181B10">
        <w:rPr>
          <w:rFonts w:hint="eastAsia"/>
          <w:b/>
          <w:sz w:val="28"/>
          <w:szCs w:val="28"/>
        </w:rPr>
        <w:t>----2018</w:t>
      </w:r>
      <w:r w:rsidRPr="00181B10">
        <w:rPr>
          <w:rFonts w:hint="eastAsia"/>
          <w:b/>
          <w:sz w:val="28"/>
          <w:szCs w:val="28"/>
        </w:rPr>
        <w:t>年第</w:t>
      </w:r>
      <w:r w:rsidRPr="00181B10">
        <w:rPr>
          <w:rFonts w:hint="eastAsia"/>
          <w:b/>
          <w:sz w:val="28"/>
          <w:szCs w:val="28"/>
        </w:rPr>
        <w:t>2</w:t>
      </w:r>
      <w:r w:rsidRPr="00181B10">
        <w:rPr>
          <w:rFonts w:hint="eastAsia"/>
          <w:b/>
          <w:sz w:val="28"/>
          <w:szCs w:val="28"/>
        </w:rPr>
        <w:t>季度中国宏观经济分析</w:t>
      </w:r>
    </w:p>
    <w:p w:rsidR="00E65A19" w:rsidRDefault="00E65A19" w:rsidP="00181B10">
      <w:pPr>
        <w:jc w:val="center"/>
        <w:rPr>
          <w:sz w:val="28"/>
          <w:szCs w:val="28"/>
        </w:rPr>
      </w:pPr>
    </w:p>
    <w:p w:rsidR="00E65A19" w:rsidRDefault="00E65A19" w:rsidP="00181B10">
      <w:pPr>
        <w:jc w:val="center"/>
        <w:rPr>
          <w:sz w:val="28"/>
          <w:szCs w:val="28"/>
        </w:rPr>
      </w:pPr>
      <w:r>
        <w:rPr>
          <w:rFonts w:hint="eastAsia"/>
          <w:sz w:val="28"/>
          <w:szCs w:val="28"/>
        </w:rPr>
        <w:t>张曙光</w:t>
      </w:r>
      <w:r>
        <w:rPr>
          <w:rFonts w:hint="eastAsia"/>
          <w:sz w:val="28"/>
          <w:szCs w:val="28"/>
        </w:rPr>
        <w:t xml:space="preserve">  </w:t>
      </w:r>
      <w:r>
        <w:rPr>
          <w:rFonts w:hint="eastAsia"/>
          <w:sz w:val="28"/>
          <w:szCs w:val="28"/>
        </w:rPr>
        <w:t>张弛</w:t>
      </w:r>
    </w:p>
    <w:p w:rsidR="00E65A19" w:rsidRDefault="00E65A19">
      <w:pPr>
        <w:rPr>
          <w:sz w:val="28"/>
          <w:szCs w:val="28"/>
        </w:rPr>
      </w:pPr>
    </w:p>
    <w:p w:rsidR="00E65A19" w:rsidRPr="003359EB" w:rsidRDefault="00E65A19" w:rsidP="0042258A">
      <w:pPr>
        <w:ind w:firstLineChars="200" w:firstLine="560"/>
        <w:rPr>
          <w:sz w:val="28"/>
          <w:szCs w:val="28"/>
        </w:rPr>
      </w:pPr>
      <w:r>
        <w:rPr>
          <w:rFonts w:hint="eastAsia"/>
          <w:sz w:val="28"/>
          <w:szCs w:val="28"/>
        </w:rPr>
        <w:t>内容提要：在“异常复杂严峻”的国际国内环境下，上半年中国</w:t>
      </w:r>
      <w:r>
        <w:rPr>
          <w:rFonts w:hint="eastAsia"/>
          <w:sz w:val="28"/>
          <w:szCs w:val="28"/>
        </w:rPr>
        <w:t>GDP</w:t>
      </w:r>
      <w:r>
        <w:rPr>
          <w:rFonts w:hint="eastAsia"/>
          <w:sz w:val="28"/>
          <w:szCs w:val="28"/>
        </w:rPr>
        <w:t>增长</w:t>
      </w:r>
      <w:r>
        <w:rPr>
          <w:rFonts w:hint="eastAsia"/>
          <w:sz w:val="28"/>
          <w:szCs w:val="28"/>
        </w:rPr>
        <w:t>6.8%</w:t>
      </w:r>
      <w:r>
        <w:rPr>
          <w:rFonts w:hint="eastAsia"/>
          <w:sz w:val="28"/>
          <w:szCs w:val="28"/>
        </w:rPr>
        <w:t>，规模以上工业增加值增长</w:t>
      </w:r>
      <w:r>
        <w:rPr>
          <w:rFonts w:hint="eastAsia"/>
          <w:sz w:val="28"/>
          <w:szCs w:val="28"/>
        </w:rPr>
        <w:t>6.7%</w:t>
      </w:r>
      <w:r>
        <w:rPr>
          <w:rFonts w:hint="eastAsia"/>
          <w:sz w:val="28"/>
          <w:szCs w:val="28"/>
        </w:rPr>
        <w:t>，</w:t>
      </w:r>
      <w:r>
        <w:rPr>
          <w:rFonts w:hint="eastAsia"/>
          <w:sz w:val="28"/>
          <w:szCs w:val="28"/>
        </w:rPr>
        <w:t>CPI</w:t>
      </w:r>
      <w:r>
        <w:rPr>
          <w:rFonts w:hint="eastAsia"/>
          <w:sz w:val="28"/>
          <w:szCs w:val="28"/>
        </w:rPr>
        <w:t>上涨</w:t>
      </w:r>
      <w:r>
        <w:rPr>
          <w:rFonts w:hint="eastAsia"/>
          <w:sz w:val="28"/>
          <w:szCs w:val="28"/>
        </w:rPr>
        <w:t>2%</w:t>
      </w:r>
      <w:r>
        <w:rPr>
          <w:rFonts w:hint="eastAsia"/>
          <w:sz w:val="28"/>
          <w:szCs w:val="28"/>
        </w:rPr>
        <w:t>，</w:t>
      </w:r>
      <w:r w:rsidR="00B47A84">
        <w:rPr>
          <w:rFonts w:hint="eastAsia"/>
          <w:sz w:val="28"/>
          <w:szCs w:val="28"/>
        </w:rPr>
        <w:t>呈现出稳中趋缓的态势。房地产调控</w:t>
      </w:r>
      <w:r w:rsidR="0042258A">
        <w:rPr>
          <w:rFonts w:hint="eastAsia"/>
          <w:sz w:val="28"/>
          <w:szCs w:val="28"/>
        </w:rPr>
        <w:t>再度加码，</w:t>
      </w:r>
      <w:r w:rsidR="00B47A84">
        <w:rPr>
          <w:rFonts w:hint="eastAsia"/>
          <w:sz w:val="28"/>
          <w:szCs w:val="28"/>
        </w:rPr>
        <w:t>进入了摇号分配房源的时代</w:t>
      </w:r>
      <w:r w:rsidR="0042258A">
        <w:rPr>
          <w:rFonts w:hint="eastAsia"/>
          <w:sz w:val="28"/>
          <w:szCs w:val="28"/>
        </w:rPr>
        <w:t>；</w:t>
      </w:r>
      <w:r w:rsidR="00B47A84">
        <w:rPr>
          <w:rFonts w:hint="eastAsia"/>
          <w:sz w:val="28"/>
          <w:szCs w:val="28"/>
        </w:rPr>
        <w:t>“蓝天保卫战”如火如荼，环境督查成为</w:t>
      </w:r>
      <w:r w:rsidR="0042258A">
        <w:rPr>
          <w:rFonts w:hint="eastAsia"/>
          <w:sz w:val="28"/>
          <w:szCs w:val="28"/>
        </w:rPr>
        <w:t>生态保护和环境治理的</w:t>
      </w:r>
      <w:r w:rsidR="00B47A84">
        <w:rPr>
          <w:rFonts w:hint="eastAsia"/>
          <w:sz w:val="28"/>
          <w:szCs w:val="28"/>
        </w:rPr>
        <w:t>主要手段</w:t>
      </w:r>
      <w:r w:rsidR="0042258A">
        <w:rPr>
          <w:rFonts w:hint="eastAsia"/>
          <w:sz w:val="28"/>
          <w:szCs w:val="28"/>
        </w:rPr>
        <w:t>；</w:t>
      </w:r>
      <w:r w:rsidR="00B47A84">
        <w:rPr>
          <w:rFonts w:hint="eastAsia"/>
          <w:sz w:val="28"/>
          <w:szCs w:val="28"/>
        </w:rPr>
        <w:t>中美贸易战已经打响，有损于</w:t>
      </w:r>
      <w:r w:rsidR="00241AB7">
        <w:rPr>
          <w:rFonts w:hint="eastAsia"/>
          <w:sz w:val="28"/>
          <w:szCs w:val="28"/>
        </w:rPr>
        <w:t>中国</w:t>
      </w:r>
      <w:r w:rsidR="00B47A84">
        <w:rPr>
          <w:rFonts w:hint="eastAsia"/>
          <w:sz w:val="28"/>
          <w:szCs w:val="28"/>
        </w:rPr>
        <w:t>消费者和有利垄断者的影响十分明显，</w:t>
      </w:r>
      <w:r w:rsidR="00181B10">
        <w:rPr>
          <w:rFonts w:hint="eastAsia"/>
          <w:sz w:val="28"/>
          <w:szCs w:val="28"/>
        </w:rPr>
        <w:t>其</w:t>
      </w:r>
      <w:r w:rsidR="00B47A84">
        <w:rPr>
          <w:rFonts w:hint="eastAsia"/>
          <w:sz w:val="28"/>
          <w:szCs w:val="28"/>
        </w:rPr>
        <w:t>对中国和世界未来经济增长的影响将会进一步显现。</w:t>
      </w:r>
    </w:p>
    <w:p w:rsidR="008D7822" w:rsidRPr="003359EB" w:rsidRDefault="008D7822">
      <w:pPr>
        <w:rPr>
          <w:sz w:val="28"/>
          <w:szCs w:val="28"/>
        </w:rPr>
      </w:pPr>
    </w:p>
    <w:p w:rsidR="003359EB" w:rsidRPr="003359EB" w:rsidRDefault="003359EB" w:rsidP="003359EB">
      <w:pPr>
        <w:pStyle w:val="1"/>
        <w:spacing w:line="360" w:lineRule="auto"/>
        <w:ind w:firstLine="562"/>
        <w:jc w:val="center"/>
        <w:rPr>
          <w:rFonts w:ascii="宋体" w:hAnsi="宋体"/>
          <w:b/>
          <w:kern w:val="0"/>
          <w:sz w:val="28"/>
          <w:szCs w:val="28"/>
        </w:rPr>
      </w:pPr>
      <w:r w:rsidRPr="003359EB">
        <w:rPr>
          <w:rFonts w:ascii="宋体" w:hAnsi="宋体" w:hint="eastAsia"/>
          <w:b/>
          <w:kern w:val="0"/>
          <w:sz w:val="28"/>
          <w:szCs w:val="28"/>
        </w:rPr>
        <w:t>一、总量态势</w:t>
      </w:r>
    </w:p>
    <w:p w:rsidR="003359EB" w:rsidRPr="003359EB" w:rsidRDefault="003359EB" w:rsidP="003359EB">
      <w:pPr>
        <w:spacing w:line="360" w:lineRule="auto"/>
        <w:rPr>
          <w:rFonts w:ascii="宋体" w:hAnsi="宋体"/>
          <w:b/>
          <w:sz w:val="28"/>
          <w:szCs w:val="28"/>
        </w:rPr>
      </w:pPr>
    </w:p>
    <w:p w:rsidR="003359EB" w:rsidRPr="003359EB" w:rsidRDefault="003359EB" w:rsidP="003359EB">
      <w:pPr>
        <w:spacing w:line="360" w:lineRule="auto"/>
        <w:rPr>
          <w:rFonts w:ascii="宋体" w:hAnsi="宋体"/>
          <w:b/>
          <w:sz w:val="28"/>
          <w:szCs w:val="28"/>
        </w:rPr>
      </w:pPr>
      <w:r w:rsidRPr="003359EB">
        <w:rPr>
          <w:rFonts w:ascii="宋体" w:hAnsi="宋体"/>
          <w:b/>
          <w:sz w:val="28"/>
          <w:szCs w:val="28"/>
        </w:rPr>
        <w:t>1.</w:t>
      </w:r>
      <w:r w:rsidRPr="003359EB">
        <w:rPr>
          <w:rFonts w:ascii="宋体" w:hAnsi="宋体" w:hint="eastAsia"/>
          <w:b/>
          <w:sz w:val="28"/>
          <w:szCs w:val="28"/>
        </w:rPr>
        <w:t>经济增速继续保持平稳</w:t>
      </w:r>
    </w:p>
    <w:p w:rsidR="003359EB" w:rsidRPr="003359EB" w:rsidRDefault="003359EB" w:rsidP="003359EB">
      <w:pPr>
        <w:rPr>
          <w:rFonts w:ascii="宋体" w:hAnsi="宋体"/>
          <w:sz w:val="28"/>
          <w:szCs w:val="28"/>
        </w:rPr>
      </w:pPr>
    </w:p>
    <w:p w:rsidR="003359EB" w:rsidRPr="003359EB" w:rsidRDefault="003359EB" w:rsidP="003359EB">
      <w:pPr>
        <w:ind w:firstLineChars="200" w:firstLine="560"/>
        <w:rPr>
          <w:rFonts w:ascii="宋体" w:hAnsi="宋体"/>
          <w:sz w:val="28"/>
          <w:szCs w:val="28"/>
        </w:rPr>
      </w:pPr>
      <w:r w:rsidRPr="003359EB">
        <w:rPr>
          <w:rFonts w:ascii="宋体" w:hAnsi="宋体" w:hint="eastAsia"/>
          <w:sz w:val="28"/>
          <w:szCs w:val="28"/>
        </w:rPr>
        <w:t>初步核算，上半年国内生产总值</w:t>
      </w:r>
      <w:r w:rsidRPr="003359EB">
        <w:rPr>
          <w:rFonts w:ascii="宋体" w:hAnsi="宋体"/>
          <w:sz w:val="28"/>
          <w:szCs w:val="28"/>
        </w:rPr>
        <w:t>418961</w:t>
      </w:r>
      <w:r w:rsidRPr="003359EB">
        <w:rPr>
          <w:rFonts w:ascii="宋体" w:hAnsi="宋体" w:hint="eastAsia"/>
          <w:sz w:val="28"/>
          <w:szCs w:val="28"/>
        </w:rPr>
        <w:t>亿元，按可比价格计算，同比增长</w:t>
      </w:r>
      <w:r w:rsidRPr="003359EB">
        <w:rPr>
          <w:rFonts w:ascii="宋体" w:hAnsi="宋体"/>
          <w:sz w:val="28"/>
          <w:szCs w:val="28"/>
        </w:rPr>
        <w:t>6.8%</w:t>
      </w:r>
      <w:r w:rsidRPr="003359EB">
        <w:rPr>
          <w:rFonts w:ascii="宋体" w:hAnsi="宋体" w:hint="eastAsia"/>
          <w:sz w:val="28"/>
          <w:szCs w:val="28"/>
        </w:rPr>
        <w:t>。分季度看，一季度同比增长</w:t>
      </w:r>
      <w:r w:rsidRPr="003359EB">
        <w:rPr>
          <w:rFonts w:ascii="宋体" w:hAnsi="宋体"/>
          <w:sz w:val="28"/>
          <w:szCs w:val="28"/>
        </w:rPr>
        <w:t>6.8%</w:t>
      </w:r>
      <w:r w:rsidRPr="003359EB">
        <w:rPr>
          <w:rFonts w:ascii="宋体" w:hAnsi="宋体" w:hint="eastAsia"/>
          <w:sz w:val="28"/>
          <w:szCs w:val="28"/>
        </w:rPr>
        <w:t>，二季度增长</w:t>
      </w:r>
      <w:r w:rsidRPr="003359EB">
        <w:rPr>
          <w:rFonts w:ascii="宋体" w:hAnsi="宋体"/>
          <w:sz w:val="28"/>
          <w:szCs w:val="28"/>
        </w:rPr>
        <w:t>6.7%</w:t>
      </w:r>
      <w:r w:rsidRPr="003359EB">
        <w:rPr>
          <w:rFonts w:ascii="宋体" w:hAnsi="宋体" w:hint="eastAsia"/>
          <w:sz w:val="28"/>
          <w:szCs w:val="28"/>
        </w:rPr>
        <w:t>，连续</w:t>
      </w:r>
      <w:r w:rsidRPr="003359EB">
        <w:rPr>
          <w:rFonts w:ascii="宋体" w:hAnsi="宋体"/>
          <w:sz w:val="28"/>
          <w:szCs w:val="28"/>
        </w:rPr>
        <w:t>12</w:t>
      </w:r>
      <w:r w:rsidRPr="003359EB">
        <w:rPr>
          <w:rFonts w:ascii="宋体" w:hAnsi="宋体" w:hint="eastAsia"/>
          <w:sz w:val="28"/>
          <w:szCs w:val="28"/>
        </w:rPr>
        <w:t>个季度保持在</w:t>
      </w:r>
      <w:r w:rsidRPr="003359EB">
        <w:rPr>
          <w:rFonts w:ascii="宋体" w:hAnsi="宋体"/>
          <w:sz w:val="28"/>
          <w:szCs w:val="28"/>
        </w:rPr>
        <w:t>6.7%-6.9%</w:t>
      </w:r>
      <w:r w:rsidRPr="003359EB">
        <w:rPr>
          <w:rFonts w:ascii="宋体" w:hAnsi="宋体" w:hint="eastAsia"/>
          <w:sz w:val="28"/>
          <w:szCs w:val="28"/>
        </w:rPr>
        <w:t>的区间。分产业看，第一产业增加值</w:t>
      </w:r>
      <w:r w:rsidRPr="003359EB">
        <w:rPr>
          <w:rFonts w:ascii="宋体" w:hAnsi="宋体"/>
          <w:sz w:val="28"/>
          <w:szCs w:val="28"/>
        </w:rPr>
        <w:t>22087</w:t>
      </w:r>
      <w:r w:rsidRPr="003359EB">
        <w:rPr>
          <w:rFonts w:ascii="宋体" w:hAnsi="宋体" w:hint="eastAsia"/>
          <w:sz w:val="28"/>
          <w:szCs w:val="28"/>
        </w:rPr>
        <w:t>亿元，同比增长</w:t>
      </w:r>
      <w:r w:rsidRPr="003359EB">
        <w:rPr>
          <w:rFonts w:ascii="宋体" w:hAnsi="宋体"/>
          <w:sz w:val="28"/>
          <w:szCs w:val="28"/>
        </w:rPr>
        <w:t>3.2%</w:t>
      </w:r>
      <w:r w:rsidRPr="003359EB">
        <w:rPr>
          <w:rFonts w:ascii="宋体" w:hAnsi="宋体" w:hint="eastAsia"/>
          <w:sz w:val="28"/>
          <w:szCs w:val="28"/>
        </w:rPr>
        <w:t>；第二产业增加值</w:t>
      </w:r>
      <w:r w:rsidRPr="003359EB">
        <w:rPr>
          <w:rFonts w:ascii="宋体" w:hAnsi="宋体"/>
          <w:sz w:val="28"/>
          <w:szCs w:val="28"/>
        </w:rPr>
        <w:t>169299</w:t>
      </w:r>
      <w:r w:rsidRPr="003359EB">
        <w:rPr>
          <w:rFonts w:ascii="宋体" w:hAnsi="宋体" w:hint="eastAsia"/>
          <w:sz w:val="28"/>
          <w:szCs w:val="28"/>
        </w:rPr>
        <w:t>亿元，增长</w:t>
      </w:r>
      <w:r w:rsidRPr="003359EB">
        <w:rPr>
          <w:rFonts w:ascii="宋体" w:hAnsi="宋体"/>
          <w:sz w:val="28"/>
          <w:szCs w:val="28"/>
        </w:rPr>
        <w:t>6.1%</w:t>
      </w:r>
      <w:r w:rsidRPr="003359EB">
        <w:rPr>
          <w:rFonts w:ascii="宋体" w:hAnsi="宋体" w:hint="eastAsia"/>
          <w:sz w:val="28"/>
          <w:szCs w:val="28"/>
        </w:rPr>
        <w:t>；第三产业增加值</w:t>
      </w:r>
      <w:r w:rsidRPr="003359EB">
        <w:rPr>
          <w:rFonts w:ascii="宋体" w:hAnsi="宋体"/>
          <w:sz w:val="28"/>
          <w:szCs w:val="28"/>
        </w:rPr>
        <w:t>227576</w:t>
      </w:r>
      <w:r w:rsidRPr="003359EB">
        <w:rPr>
          <w:rFonts w:ascii="宋体" w:hAnsi="宋体" w:hint="eastAsia"/>
          <w:sz w:val="28"/>
          <w:szCs w:val="28"/>
        </w:rPr>
        <w:t>亿元，增长</w:t>
      </w:r>
      <w:r w:rsidRPr="003359EB">
        <w:rPr>
          <w:rFonts w:ascii="宋体" w:hAnsi="宋体"/>
          <w:sz w:val="28"/>
          <w:szCs w:val="28"/>
        </w:rPr>
        <w:t>7.6%</w:t>
      </w:r>
      <w:r w:rsidRPr="003359EB">
        <w:rPr>
          <w:rFonts w:ascii="宋体" w:hAnsi="宋体" w:hint="eastAsia"/>
          <w:sz w:val="28"/>
          <w:szCs w:val="28"/>
        </w:rPr>
        <w:t>。</w:t>
      </w:r>
    </w:p>
    <w:p w:rsidR="003359EB" w:rsidRPr="003359EB" w:rsidRDefault="003359EB" w:rsidP="003359EB">
      <w:pPr>
        <w:ind w:firstLineChars="200" w:firstLine="560"/>
        <w:rPr>
          <w:rFonts w:ascii="宋体" w:hAnsi="宋体"/>
          <w:sz w:val="28"/>
          <w:szCs w:val="28"/>
        </w:rPr>
      </w:pPr>
      <w:r w:rsidRPr="003359EB">
        <w:rPr>
          <w:rFonts w:ascii="宋体" w:hAnsi="宋体" w:cs="宋体" w:hint="eastAsia"/>
          <w:color w:val="333333"/>
          <w:kern w:val="0"/>
          <w:sz w:val="28"/>
          <w:szCs w:val="28"/>
        </w:rPr>
        <w:lastRenderedPageBreak/>
        <w:t>上半年，全国规模以上工业增加值同比实际增长</w:t>
      </w:r>
      <w:r w:rsidRPr="003359EB">
        <w:rPr>
          <w:color w:val="333333"/>
          <w:kern w:val="0"/>
          <w:sz w:val="28"/>
          <w:szCs w:val="28"/>
        </w:rPr>
        <w:t>6.7%</w:t>
      </w:r>
      <w:r w:rsidRPr="003359EB">
        <w:rPr>
          <w:rFonts w:ascii="宋体" w:hAnsi="宋体" w:cs="宋体" w:hint="eastAsia"/>
          <w:color w:val="333333"/>
          <w:kern w:val="0"/>
          <w:sz w:val="28"/>
          <w:szCs w:val="28"/>
        </w:rPr>
        <w:t>，增速比一季度回落</w:t>
      </w:r>
      <w:r w:rsidRPr="003359EB">
        <w:rPr>
          <w:color w:val="333333"/>
          <w:kern w:val="0"/>
          <w:sz w:val="28"/>
          <w:szCs w:val="28"/>
        </w:rPr>
        <w:t>0.1</w:t>
      </w:r>
      <w:r w:rsidRPr="003359EB">
        <w:rPr>
          <w:rFonts w:ascii="宋体" w:hAnsi="宋体" w:cs="宋体" w:hint="eastAsia"/>
          <w:color w:val="333333"/>
          <w:kern w:val="0"/>
          <w:sz w:val="28"/>
          <w:szCs w:val="28"/>
        </w:rPr>
        <w:t>个百分点。分经济类型看，国有控股企业增加值同比增长</w:t>
      </w:r>
      <w:r w:rsidRPr="003359EB">
        <w:rPr>
          <w:color w:val="333333"/>
          <w:kern w:val="0"/>
          <w:sz w:val="28"/>
          <w:szCs w:val="28"/>
        </w:rPr>
        <w:t>7.6%</w:t>
      </w:r>
      <w:r w:rsidRPr="003359EB">
        <w:rPr>
          <w:rFonts w:ascii="宋体" w:hAnsi="宋体" w:cs="宋体" w:hint="eastAsia"/>
          <w:color w:val="333333"/>
          <w:kern w:val="0"/>
          <w:sz w:val="28"/>
          <w:szCs w:val="28"/>
        </w:rPr>
        <w:t>，集体企业下降</w:t>
      </w:r>
      <w:r w:rsidRPr="003359EB">
        <w:rPr>
          <w:color w:val="333333"/>
          <w:kern w:val="0"/>
          <w:sz w:val="28"/>
          <w:szCs w:val="28"/>
        </w:rPr>
        <w:t>1.9%</w:t>
      </w:r>
      <w:r w:rsidRPr="003359EB">
        <w:rPr>
          <w:rFonts w:ascii="宋体" w:hAnsi="宋体" w:cs="宋体" w:hint="eastAsia"/>
          <w:color w:val="333333"/>
          <w:kern w:val="0"/>
          <w:sz w:val="28"/>
          <w:szCs w:val="28"/>
        </w:rPr>
        <w:t>，股份制企业增长</w:t>
      </w:r>
      <w:r w:rsidRPr="003359EB">
        <w:rPr>
          <w:color w:val="333333"/>
          <w:kern w:val="0"/>
          <w:sz w:val="28"/>
          <w:szCs w:val="28"/>
        </w:rPr>
        <w:t>6.7%</w:t>
      </w:r>
      <w:r w:rsidRPr="003359EB">
        <w:rPr>
          <w:rFonts w:ascii="宋体" w:hAnsi="宋体" w:cs="宋体" w:hint="eastAsia"/>
          <w:color w:val="333333"/>
          <w:kern w:val="0"/>
          <w:sz w:val="28"/>
          <w:szCs w:val="28"/>
        </w:rPr>
        <w:t>，外商及港澳台商投资企业增长</w:t>
      </w:r>
      <w:r w:rsidRPr="003359EB">
        <w:rPr>
          <w:color w:val="333333"/>
          <w:kern w:val="0"/>
          <w:sz w:val="28"/>
          <w:szCs w:val="28"/>
        </w:rPr>
        <w:t>6.2%</w:t>
      </w:r>
      <w:r w:rsidRPr="003359EB">
        <w:rPr>
          <w:rFonts w:ascii="宋体" w:hAnsi="宋体" w:cs="宋体" w:hint="eastAsia"/>
          <w:color w:val="333333"/>
          <w:kern w:val="0"/>
          <w:sz w:val="28"/>
          <w:szCs w:val="28"/>
        </w:rPr>
        <w:t>。分三大门类看，采矿业增加值同比增长</w:t>
      </w:r>
      <w:r w:rsidRPr="003359EB">
        <w:rPr>
          <w:color w:val="333333"/>
          <w:kern w:val="0"/>
          <w:sz w:val="28"/>
          <w:szCs w:val="28"/>
        </w:rPr>
        <w:t>1.6%</w:t>
      </w:r>
      <w:r w:rsidRPr="003359EB">
        <w:rPr>
          <w:rFonts w:ascii="宋体" w:hAnsi="宋体" w:cs="宋体" w:hint="eastAsia"/>
          <w:color w:val="333333"/>
          <w:kern w:val="0"/>
          <w:sz w:val="28"/>
          <w:szCs w:val="28"/>
        </w:rPr>
        <w:t>，制造业增长</w:t>
      </w:r>
      <w:r w:rsidRPr="003359EB">
        <w:rPr>
          <w:color w:val="333333"/>
          <w:kern w:val="0"/>
          <w:sz w:val="28"/>
          <w:szCs w:val="28"/>
        </w:rPr>
        <w:t>6.9%</w:t>
      </w:r>
      <w:r w:rsidRPr="003359EB">
        <w:rPr>
          <w:rFonts w:ascii="宋体" w:hAnsi="宋体" w:cs="宋体" w:hint="eastAsia"/>
          <w:color w:val="333333"/>
          <w:kern w:val="0"/>
          <w:sz w:val="28"/>
          <w:szCs w:val="28"/>
        </w:rPr>
        <w:t>，电力、热力、燃气及水生产和供应业增长</w:t>
      </w:r>
      <w:r w:rsidRPr="003359EB">
        <w:rPr>
          <w:color w:val="333333"/>
          <w:kern w:val="0"/>
          <w:sz w:val="28"/>
          <w:szCs w:val="28"/>
        </w:rPr>
        <w:t>10.5%</w:t>
      </w:r>
      <w:r w:rsidRPr="003359EB">
        <w:rPr>
          <w:rFonts w:ascii="宋体" w:hAnsi="宋体" w:cs="宋体" w:hint="eastAsia"/>
          <w:color w:val="333333"/>
          <w:kern w:val="0"/>
          <w:sz w:val="28"/>
          <w:szCs w:val="28"/>
        </w:rPr>
        <w:t>。高技术产业和装备制造业增加值同比分别增长</w:t>
      </w:r>
      <w:r w:rsidRPr="003359EB">
        <w:rPr>
          <w:color w:val="333333"/>
          <w:kern w:val="0"/>
          <w:sz w:val="28"/>
          <w:szCs w:val="28"/>
        </w:rPr>
        <w:t>11.6%</w:t>
      </w:r>
      <w:r w:rsidRPr="003359EB">
        <w:rPr>
          <w:rFonts w:ascii="宋体" w:hAnsi="宋体" w:cs="宋体" w:hint="eastAsia"/>
          <w:color w:val="333333"/>
          <w:kern w:val="0"/>
          <w:sz w:val="28"/>
          <w:szCs w:val="28"/>
        </w:rPr>
        <w:t>和</w:t>
      </w:r>
      <w:r w:rsidRPr="003359EB">
        <w:rPr>
          <w:color w:val="333333"/>
          <w:kern w:val="0"/>
          <w:sz w:val="28"/>
          <w:szCs w:val="28"/>
        </w:rPr>
        <w:t>9.2%</w:t>
      </w:r>
      <w:r w:rsidRPr="003359EB">
        <w:rPr>
          <w:rFonts w:ascii="宋体" w:hAnsi="宋体" w:cs="宋体" w:hint="eastAsia"/>
          <w:color w:val="333333"/>
          <w:kern w:val="0"/>
          <w:sz w:val="28"/>
          <w:szCs w:val="28"/>
        </w:rPr>
        <w:t>，分别快于规模以上工业</w:t>
      </w:r>
      <w:r w:rsidRPr="003359EB">
        <w:rPr>
          <w:color w:val="333333"/>
          <w:kern w:val="0"/>
          <w:sz w:val="28"/>
          <w:szCs w:val="28"/>
        </w:rPr>
        <w:t>4.9</w:t>
      </w:r>
      <w:r w:rsidRPr="003359EB">
        <w:rPr>
          <w:rFonts w:ascii="宋体" w:hAnsi="宋体" w:cs="宋体" w:hint="eastAsia"/>
          <w:color w:val="333333"/>
          <w:kern w:val="0"/>
          <w:sz w:val="28"/>
          <w:szCs w:val="28"/>
        </w:rPr>
        <w:t>和</w:t>
      </w:r>
      <w:r w:rsidRPr="003359EB">
        <w:rPr>
          <w:color w:val="333333"/>
          <w:kern w:val="0"/>
          <w:sz w:val="28"/>
          <w:szCs w:val="28"/>
        </w:rPr>
        <w:t>2.5</w:t>
      </w:r>
      <w:r w:rsidRPr="003359EB">
        <w:rPr>
          <w:rFonts w:ascii="宋体" w:hAnsi="宋体" w:cs="宋体" w:hint="eastAsia"/>
          <w:color w:val="333333"/>
          <w:kern w:val="0"/>
          <w:sz w:val="28"/>
          <w:szCs w:val="28"/>
        </w:rPr>
        <w:t>个百分点。</w:t>
      </w:r>
    </w:p>
    <w:p w:rsidR="003359EB" w:rsidRPr="003359EB" w:rsidRDefault="003359EB" w:rsidP="003359EB">
      <w:pPr>
        <w:ind w:firstLineChars="200" w:firstLine="560"/>
        <w:rPr>
          <w:rFonts w:ascii="宋体" w:hAnsi="宋体"/>
          <w:sz w:val="28"/>
          <w:szCs w:val="28"/>
        </w:rPr>
      </w:pPr>
      <w:r w:rsidRPr="003359EB">
        <w:rPr>
          <w:rFonts w:ascii="宋体" w:hAnsi="宋体" w:hint="eastAsia"/>
          <w:sz w:val="28"/>
          <w:szCs w:val="28"/>
        </w:rPr>
        <w:t>上半年，全国服务业生产指数同比增长</w:t>
      </w:r>
      <w:r w:rsidRPr="003359EB">
        <w:rPr>
          <w:rFonts w:ascii="宋体" w:hAnsi="宋体"/>
          <w:sz w:val="28"/>
          <w:szCs w:val="28"/>
        </w:rPr>
        <w:t>8.0%</w:t>
      </w:r>
      <w:r w:rsidRPr="003359EB">
        <w:rPr>
          <w:rFonts w:ascii="宋体" w:hAnsi="宋体" w:hint="eastAsia"/>
          <w:sz w:val="28"/>
          <w:szCs w:val="28"/>
        </w:rPr>
        <w:t>，增速比一季度回落</w:t>
      </w:r>
      <w:r w:rsidRPr="003359EB">
        <w:rPr>
          <w:rFonts w:ascii="宋体" w:hAnsi="宋体"/>
          <w:sz w:val="28"/>
          <w:szCs w:val="28"/>
        </w:rPr>
        <w:t>0.1</w:t>
      </w:r>
      <w:r w:rsidRPr="003359EB">
        <w:rPr>
          <w:rFonts w:ascii="宋体" w:hAnsi="宋体" w:hint="eastAsia"/>
          <w:sz w:val="28"/>
          <w:szCs w:val="28"/>
        </w:rPr>
        <w:t>个百分点。</w:t>
      </w:r>
    </w:p>
    <w:p w:rsidR="003359EB" w:rsidRPr="003359EB" w:rsidRDefault="003359EB" w:rsidP="003359EB">
      <w:pPr>
        <w:ind w:firstLineChars="200" w:firstLine="560"/>
        <w:rPr>
          <w:rFonts w:ascii="宋体" w:hAnsi="宋体"/>
          <w:sz w:val="28"/>
          <w:szCs w:val="28"/>
        </w:rPr>
      </w:pPr>
      <w:r w:rsidRPr="003359EB">
        <w:rPr>
          <w:noProof/>
          <w:sz w:val="28"/>
          <w:szCs w:val="28"/>
        </w:rPr>
        <w:drawing>
          <wp:inline distT="0" distB="0" distL="0" distR="0">
            <wp:extent cx="4895850" cy="2762250"/>
            <wp:effectExtent l="0" t="0" r="0" b="0"/>
            <wp:docPr id="2" name="图表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7EDBFF0-DF8A-44C8-A315-DEC5D6DCBE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59EB" w:rsidRPr="003359EB" w:rsidRDefault="003359EB" w:rsidP="003359EB">
      <w:pPr>
        <w:spacing w:line="360" w:lineRule="auto"/>
        <w:rPr>
          <w:rFonts w:ascii="宋体" w:hAnsi="宋体"/>
          <w:b/>
          <w:sz w:val="28"/>
          <w:szCs w:val="28"/>
        </w:rPr>
      </w:pPr>
      <w:r w:rsidRPr="003359EB">
        <w:rPr>
          <w:rFonts w:ascii="宋体" w:hAnsi="宋体"/>
          <w:b/>
          <w:sz w:val="28"/>
          <w:szCs w:val="28"/>
        </w:rPr>
        <w:t>2.</w:t>
      </w:r>
      <w:r w:rsidRPr="003359EB">
        <w:rPr>
          <w:rFonts w:ascii="宋体" w:hAnsi="宋体" w:hint="eastAsia"/>
          <w:b/>
          <w:sz w:val="28"/>
          <w:szCs w:val="28"/>
        </w:rPr>
        <w:t xml:space="preserve">居民消费和生产者价格保持稳定   </w:t>
      </w:r>
    </w:p>
    <w:p w:rsidR="003359EB" w:rsidRPr="003359EB" w:rsidRDefault="003359EB" w:rsidP="003359EB">
      <w:pPr>
        <w:ind w:firstLineChars="200" w:firstLine="560"/>
        <w:rPr>
          <w:rFonts w:ascii="宋体" w:hAnsi="宋体"/>
          <w:sz w:val="28"/>
          <w:szCs w:val="28"/>
        </w:rPr>
      </w:pPr>
    </w:p>
    <w:p w:rsidR="003359EB" w:rsidRPr="003359EB" w:rsidRDefault="003359EB" w:rsidP="003359EB">
      <w:pPr>
        <w:ind w:firstLineChars="200" w:firstLine="560"/>
        <w:rPr>
          <w:rFonts w:ascii="宋体" w:hAnsi="宋体"/>
          <w:sz w:val="28"/>
          <w:szCs w:val="28"/>
        </w:rPr>
      </w:pPr>
      <w:r w:rsidRPr="003359EB">
        <w:rPr>
          <w:rFonts w:ascii="宋体" w:hAnsi="宋体" w:hint="eastAsia"/>
          <w:sz w:val="28"/>
          <w:szCs w:val="28"/>
        </w:rPr>
        <w:t>上半年，全国居民消费价格同比上涨</w:t>
      </w:r>
      <w:r w:rsidRPr="003359EB">
        <w:rPr>
          <w:rFonts w:ascii="宋体" w:hAnsi="宋体"/>
          <w:sz w:val="28"/>
          <w:szCs w:val="28"/>
        </w:rPr>
        <w:t>2.0%</w:t>
      </w:r>
      <w:r w:rsidRPr="003359EB">
        <w:rPr>
          <w:rFonts w:ascii="宋体" w:hAnsi="宋体" w:hint="eastAsia"/>
          <w:sz w:val="28"/>
          <w:szCs w:val="28"/>
        </w:rPr>
        <w:t>，涨幅比一季度回落</w:t>
      </w:r>
      <w:r w:rsidRPr="003359EB">
        <w:rPr>
          <w:rFonts w:ascii="宋体" w:hAnsi="宋体"/>
          <w:sz w:val="28"/>
          <w:szCs w:val="28"/>
        </w:rPr>
        <w:t>0.1</w:t>
      </w:r>
      <w:r w:rsidRPr="003359EB">
        <w:rPr>
          <w:rFonts w:ascii="宋体" w:hAnsi="宋体" w:hint="eastAsia"/>
          <w:sz w:val="28"/>
          <w:szCs w:val="28"/>
        </w:rPr>
        <w:t>个百分点。分类别看，食品烟酒价格同比上涨</w:t>
      </w:r>
      <w:r w:rsidRPr="003359EB">
        <w:rPr>
          <w:rFonts w:ascii="宋体" w:hAnsi="宋体"/>
          <w:sz w:val="28"/>
          <w:szCs w:val="28"/>
        </w:rPr>
        <w:t>1.4%</w:t>
      </w:r>
      <w:r w:rsidRPr="003359EB">
        <w:rPr>
          <w:rFonts w:ascii="宋体" w:hAnsi="宋体" w:hint="eastAsia"/>
          <w:sz w:val="28"/>
          <w:szCs w:val="28"/>
        </w:rPr>
        <w:t>，衣着上涨</w:t>
      </w:r>
      <w:r w:rsidRPr="003359EB">
        <w:rPr>
          <w:rFonts w:ascii="宋体" w:hAnsi="宋体"/>
          <w:sz w:val="28"/>
          <w:szCs w:val="28"/>
        </w:rPr>
        <w:t>1.1%</w:t>
      </w:r>
      <w:r w:rsidRPr="003359EB">
        <w:rPr>
          <w:rFonts w:ascii="宋体" w:hAnsi="宋体" w:hint="eastAsia"/>
          <w:sz w:val="28"/>
          <w:szCs w:val="28"/>
        </w:rPr>
        <w:t>，居住上涨</w:t>
      </w:r>
      <w:r w:rsidRPr="003359EB">
        <w:rPr>
          <w:rFonts w:ascii="宋体" w:hAnsi="宋体"/>
          <w:sz w:val="28"/>
          <w:szCs w:val="28"/>
        </w:rPr>
        <w:t>2.3%</w:t>
      </w:r>
      <w:r w:rsidRPr="003359EB">
        <w:rPr>
          <w:rFonts w:ascii="宋体" w:hAnsi="宋体" w:hint="eastAsia"/>
          <w:sz w:val="28"/>
          <w:szCs w:val="28"/>
        </w:rPr>
        <w:t>，生活用品及服务上涨</w:t>
      </w:r>
      <w:r w:rsidRPr="003359EB">
        <w:rPr>
          <w:rFonts w:ascii="宋体" w:hAnsi="宋体"/>
          <w:sz w:val="28"/>
          <w:szCs w:val="28"/>
        </w:rPr>
        <w:t>1.6%</w:t>
      </w:r>
      <w:r w:rsidRPr="003359EB">
        <w:rPr>
          <w:rFonts w:ascii="宋体" w:hAnsi="宋体" w:hint="eastAsia"/>
          <w:sz w:val="28"/>
          <w:szCs w:val="28"/>
        </w:rPr>
        <w:t>，交通和通信上涨</w:t>
      </w:r>
      <w:r w:rsidRPr="003359EB">
        <w:rPr>
          <w:rFonts w:ascii="宋体" w:hAnsi="宋体"/>
          <w:sz w:val="28"/>
          <w:szCs w:val="28"/>
        </w:rPr>
        <w:t>1.2%</w:t>
      </w:r>
      <w:r w:rsidRPr="003359EB">
        <w:rPr>
          <w:rFonts w:ascii="宋体" w:hAnsi="宋体" w:hint="eastAsia"/>
          <w:sz w:val="28"/>
          <w:szCs w:val="28"/>
        </w:rPr>
        <w:t>，教育文化和娱乐上涨</w:t>
      </w:r>
      <w:r w:rsidRPr="003359EB">
        <w:rPr>
          <w:rFonts w:ascii="宋体" w:hAnsi="宋体"/>
          <w:sz w:val="28"/>
          <w:szCs w:val="28"/>
        </w:rPr>
        <w:t>2.1%</w:t>
      </w:r>
      <w:r w:rsidRPr="003359EB">
        <w:rPr>
          <w:rFonts w:ascii="宋体" w:hAnsi="宋体" w:hint="eastAsia"/>
          <w:sz w:val="28"/>
          <w:szCs w:val="28"/>
        </w:rPr>
        <w:t>，医疗保健上涨</w:t>
      </w:r>
      <w:r w:rsidRPr="003359EB">
        <w:rPr>
          <w:rFonts w:ascii="宋体" w:hAnsi="宋体"/>
          <w:sz w:val="28"/>
          <w:szCs w:val="28"/>
        </w:rPr>
        <w:t>5.5%</w:t>
      </w:r>
      <w:r w:rsidRPr="003359EB">
        <w:rPr>
          <w:rFonts w:ascii="宋体" w:hAnsi="宋体" w:hint="eastAsia"/>
          <w:sz w:val="28"/>
          <w:szCs w:val="28"/>
        </w:rPr>
        <w:t>，其他用品和</w:t>
      </w:r>
      <w:r w:rsidRPr="003359EB">
        <w:rPr>
          <w:rFonts w:ascii="宋体" w:hAnsi="宋体" w:hint="eastAsia"/>
          <w:sz w:val="28"/>
          <w:szCs w:val="28"/>
        </w:rPr>
        <w:lastRenderedPageBreak/>
        <w:t>服务上涨</w:t>
      </w:r>
      <w:r w:rsidRPr="003359EB">
        <w:rPr>
          <w:rFonts w:ascii="宋体" w:hAnsi="宋体"/>
          <w:sz w:val="28"/>
          <w:szCs w:val="28"/>
        </w:rPr>
        <w:t>1.1%</w:t>
      </w:r>
      <w:r w:rsidRPr="003359EB">
        <w:rPr>
          <w:rFonts w:ascii="宋体" w:hAnsi="宋体" w:hint="eastAsia"/>
          <w:sz w:val="28"/>
          <w:szCs w:val="28"/>
        </w:rPr>
        <w:t>。</w:t>
      </w:r>
    </w:p>
    <w:p w:rsidR="003359EB" w:rsidRPr="003359EB" w:rsidRDefault="003359EB" w:rsidP="003359EB">
      <w:pPr>
        <w:ind w:firstLineChars="200" w:firstLine="560"/>
        <w:rPr>
          <w:rFonts w:ascii="宋体" w:hAnsi="宋体"/>
          <w:sz w:val="28"/>
          <w:szCs w:val="28"/>
        </w:rPr>
      </w:pPr>
      <w:r w:rsidRPr="003359EB">
        <w:rPr>
          <w:rFonts w:ascii="宋体" w:hAnsi="宋体" w:hint="eastAsia"/>
          <w:sz w:val="28"/>
          <w:szCs w:val="28"/>
        </w:rPr>
        <w:t>上半年，全国工业生产者出厂价格同比上涨</w:t>
      </w:r>
      <w:r w:rsidRPr="003359EB">
        <w:rPr>
          <w:rFonts w:ascii="宋体" w:hAnsi="宋体"/>
          <w:sz w:val="28"/>
          <w:szCs w:val="28"/>
        </w:rPr>
        <w:t>3.9%</w:t>
      </w:r>
      <w:r w:rsidRPr="003359EB">
        <w:rPr>
          <w:rFonts w:ascii="宋体" w:hAnsi="宋体" w:hint="eastAsia"/>
          <w:sz w:val="28"/>
          <w:szCs w:val="28"/>
        </w:rPr>
        <w:t>，涨幅比一季度扩大</w:t>
      </w:r>
      <w:r w:rsidRPr="003359EB">
        <w:rPr>
          <w:rFonts w:ascii="宋体" w:hAnsi="宋体"/>
          <w:sz w:val="28"/>
          <w:szCs w:val="28"/>
        </w:rPr>
        <w:t>0.2</w:t>
      </w:r>
      <w:r w:rsidRPr="003359EB">
        <w:rPr>
          <w:rFonts w:ascii="宋体" w:hAnsi="宋体" w:hint="eastAsia"/>
          <w:sz w:val="28"/>
          <w:szCs w:val="28"/>
        </w:rPr>
        <w:t>个百分点；全国工业生产者购进价格同比上涨</w:t>
      </w:r>
      <w:r w:rsidRPr="003359EB">
        <w:rPr>
          <w:rFonts w:ascii="宋体" w:hAnsi="宋体"/>
          <w:sz w:val="28"/>
          <w:szCs w:val="28"/>
        </w:rPr>
        <w:t>4.4%</w:t>
      </w:r>
      <w:r w:rsidRPr="003359EB">
        <w:rPr>
          <w:rFonts w:ascii="宋体" w:hAnsi="宋体" w:hint="eastAsia"/>
          <w:sz w:val="28"/>
          <w:szCs w:val="28"/>
        </w:rPr>
        <w:t>。</w:t>
      </w:r>
    </w:p>
    <w:p w:rsidR="003359EB" w:rsidRPr="003359EB" w:rsidRDefault="003359EB" w:rsidP="003359EB">
      <w:pPr>
        <w:rPr>
          <w:rFonts w:ascii="宋体" w:hAnsi="宋体"/>
          <w:sz w:val="28"/>
          <w:szCs w:val="28"/>
        </w:rPr>
      </w:pPr>
      <w:r w:rsidRPr="003359EB">
        <w:rPr>
          <w:noProof/>
          <w:sz w:val="28"/>
          <w:szCs w:val="28"/>
        </w:rPr>
        <w:drawing>
          <wp:inline distT="0" distB="0" distL="0" distR="0">
            <wp:extent cx="5274310" cy="2562225"/>
            <wp:effectExtent l="0" t="0" r="2540" b="9525"/>
            <wp:docPr id="3" name="图表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CCABEE5-9083-450C-BF5A-E29DABF396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59EB" w:rsidRPr="003359EB" w:rsidRDefault="003359EB" w:rsidP="003359EB">
      <w:pPr>
        <w:spacing w:line="360" w:lineRule="auto"/>
        <w:rPr>
          <w:rFonts w:ascii="宋体" w:hAnsi="宋体"/>
          <w:b/>
          <w:sz w:val="28"/>
          <w:szCs w:val="28"/>
        </w:rPr>
      </w:pPr>
      <w:r w:rsidRPr="003359EB">
        <w:rPr>
          <w:rFonts w:ascii="宋体" w:hAnsi="宋体"/>
          <w:b/>
          <w:sz w:val="28"/>
          <w:szCs w:val="28"/>
        </w:rPr>
        <w:t>3.</w:t>
      </w:r>
      <w:r w:rsidRPr="003359EB">
        <w:rPr>
          <w:rFonts w:ascii="宋体" w:hAnsi="宋体" w:hint="eastAsia"/>
          <w:b/>
          <w:sz w:val="28"/>
          <w:szCs w:val="28"/>
        </w:rPr>
        <w:t>劳动力市场就业率提升</w:t>
      </w:r>
    </w:p>
    <w:p w:rsidR="003359EB" w:rsidRPr="003359EB" w:rsidRDefault="003359EB" w:rsidP="003359EB">
      <w:pPr>
        <w:ind w:firstLineChars="200" w:firstLine="560"/>
        <w:rPr>
          <w:rFonts w:ascii="宋体" w:hAnsi="宋体"/>
          <w:sz w:val="28"/>
          <w:szCs w:val="28"/>
        </w:rPr>
      </w:pPr>
    </w:p>
    <w:p w:rsidR="003359EB" w:rsidRPr="003359EB" w:rsidRDefault="003359EB" w:rsidP="003359EB">
      <w:pPr>
        <w:ind w:firstLine="420"/>
        <w:rPr>
          <w:rFonts w:ascii="宋体" w:hAnsi="宋体"/>
          <w:sz w:val="28"/>
          <w:szCs w:val="28"/>
        </w:rPr>
      </w:pPr>
      <w:r w:rsidRPr="003359EB">
        <w:rPr>
          <w:rFonts w:ascii="宋体" w:hAnsi="宋体" w:hint="eastAsia"/>
          <w:sz w:val="28"/>
          <w:szCs w:val="28"/>
        </w:rPr>
        <w:t>前</w:t>
      </w:r>
      <w:r w:rsidRPr="003359EB">
        <w:rPr>
          <w:rFonts w:ascii="宋体" w:hAnsi="宋体"/>
          <w:sz w:val="28"/>
          <w:szCs w:val="28"/>
        </w:rPr>
        <w:t>6</w:t>
      </w:r>
      <w:r w:rsidRPr="003359EB">
        <w:rPr>
          <w:rFonts w:ascii="宋体" w:hAnsi="宋体" w:hint="eastAsia"/>
          <w:sz w:val="28"/>
          <w:szCs w:val="28"/>
        </w:rPr>
        <w:t>个月，全国城镇调查失业率处于</w:t>
      </w:r>
      <w:r w:rsidRPr="003359EB">
        <w:rPr>
          <w:rFonts w:ascii="宋体" w:hAnsi="宋体"/>
          <w:sz w:val="28"/>
          <w:szCs w:val="28"/>
        </w:rPr>
        <w:t>4.8%</w:t>
      </w:r>
      <w:r w:rsidRPr="003359EB">
        <w:rPr>
          <w:rFonts w:ascii="微软雅黑" w:eastAsia="微软雅黑" w:hAnsi="微软雅黑" w:cs="微软雅黑" w:hint="eastAsia"/>
          <w:sz w:val="28"/>
          <w:szCs w:val="28"/>
        </w:rPr>
        <w:t>−</w:t>
      </w:r>
      <w:r w:rsidRPr="003359EB">
        <w:rPr>
          <w:rFonts w:ascii="宋体" w:hAnsi="宋体"/>
          <w:sz w:val="28"/>
          <w:szCs w:val="28"/>
        </w:rPr>
        <w:t>5.1%</w:t>
      </w:r>
      <w:r w:rsidRPr="003359EB">
        <w:rPr>
          <w:rFonts w:ascii="宋体" w:hAnsi="宋体" w:hint="eastAsia"/>
          <w:sz w:val="28"/>
          <w:szCs w:val="28"/>
        </w:rPr>
        <w:t>区间，各月均低于上年同期水平。</w:t>
      </w:r>
      <w:r w:rsidRPr="003359EB">
        <w:rPr>
          <w:rFonts w:ascii="宋体" w:hAnsi="宋体"/>
          <w:sz w:val="28"/>
          <w:szCs w:val="28"/>
        </w:rPr>
        <w:t>6</w:t>
      </w:r>
      <w:r w:rsidRPr="003359EB">
        <w:rPr>
          <w:rFonts w:ascii="宋体" w:hAnsi="宋体" w:hint="eastAsia"/>
          <w:sz w:val="28"/>
          <w:szCs w:val="28"/>
        </w:rPr>
        <w:t>月末，我国城镇就业人员总量超过</w:t>
      </w:r>
      <w:r w:rsidRPr="003359EB">
        <w:rPr>
          <w:rFonts w:ascii="宋体" w:hAnsi="宋体"/>
          <w:sz w:val="28"/>
          <w:szCs w:val="28"/>
        </w:rPr>
        <w:t>4.3</w:t>
      </w:r>
      <w:r w:rsidRPr="003359EB">
        <w:rPr>
          <w:rFonts w:ascii="宋体" w:hAnsi="宋体" w:hint="eastAsia"/>
          <w:sz w:val="28"/>
          <w:szCs w:val="28"/>
        </w:rPr>
        <w:t>亿人，比上年末增加</w:t>
      </w:r>
      <w:r w:rsidRPr="003359EB">
        <w:rPr>
          <w:rFonts w:ascii="宋体" w:hAnsi="宋体"/>
          <w:sz w:val="28"/>
          <w:szCs w:val="28"/>
        </w:rPr>
        <w:t>500</w:t>
      </w:r>
      <w:r w:rsidRPr="003359EB">
        <w:rPr>
          <w:rFonts w:ascii="宋体" w:hAnsi="宋体" w:hint="eastAsia"/>
          <w:sz w:val="28"/>
          <w:szCs w:val="28"/>
        </w:rPr>
        <w:t>万人以上。</w:t>
      </w:r>
      <w:r w:rsidRPr="003359EB">
        <w:rPr>
          <w:rFonts w:ascii="宋体" w:hAnsi="宋体"/>
          <w:sz w:val="28"/>
          <w:szCs w:val="28"/>
        </w:rPr>
        <w:t>6</w:t>
      </w:r>
      <w:r w:rsidRPr="003359EB">
        <w:rPr>
          <w:rFonts w:ascii="宋体" w:hAnsi="宋体" w:hint="eastAsia"/>
          <w:sz w:val="28"/>
          <w:szCs w:val="28"/>
        </w:rPr>
        <w:t>月末，第三产业就业人员比重同比提高了</w:t>
      </w:r>
      <w:r w:rsidRPr="003359EB">
        <w:rPr>
          <w:rFonts w:ascii="宋体" w:hAnsi="宋体"/>
          <w:sz w:val="28"/>
          <w:szCs w:val="28"/>
        </w:rPr>
        <w:t>1.4</w:t>
      </w:r>
      <w:r w:rsidRPr="003359EB">
        <w:rPr>
          <w:rFonts w:ascii="宋体" w:hAnsi="宋体" w:hint="eastAsia"/>
          <w:sz w:val="28"/>
          <w:szCs w:val="28"/>
        </w:rPr>
        <w:t>个百分点。</w:t>
      </w:r>
    </w:p>
    <w:p w:rsidR="003359EB" w:rsidRPr="003359EB" w:rsidRDefault="003359EB" w:rsidP="003359EB">
      <w:pPr>
        <w:ind w:firstLine="420"/>
        <w:rPr>
          <w:rFonts w:ascii="宋体" w:hAnsi="宋体"/>
          <w:sz w:val="28"/>
          <w:szCs w:val="28"/>
        </w:rPr>
      </w:pPr>
    </w:p>
    <w:p w:rsidR="003359EB" w:rsidRPr="003359EB" w:rsidRDefault="003359EB" w:rsidP="003359EB">
      <w:pPr>
        <w:spacing w:line="360" w:lineRule="auto"/>
        <w:rPr>
          <w:rFonts w:ascii="宋体" w:hAnsi="宋体"/>
          <w:b/>
          <w:sz w:val="28"/>
          <w:szCs w:val="28"/>
          <w:shd w:val="clear" w:color="auto" w:fill="FFFFFF"/>
        </w:rPr>
      </w:pPr>
      <w:r w:rsidRPr="003359EB">
        <w:rPr>
          <w:rFonts w:ascii="宋体" w:hAnsi="宋体"/>
          <w:b/>
          <w:sz w:val="28"/>
          <w:szCs w:val="28"/>
          <w:shd w:val="clear" w:color="auto" w:fill="FFFFFF"/>
        </w:rPr>
        <w:t>4.</w:t>
      </w:r>
      <w:r w:rsidR="001811C4">
        <w:rPr>
          <w:rFonts w:ascii="宋体" w:hAnsi="宋体" w:hint="eastAsia"/>
          <w:b/>
          <w:sz w:val="28"/>
          <w:szCs w:val="28"/>
          <w:shd w:val="clear" w:color="auto" w:fill="FFFFFF"/>
        </w:rPr>
        <w:t>人民币</w:t>
      </w:r>
      <w:r w:rsidRPr="003359EB">
        <w:rPr>
          <w:rFonts w:ascii="宋体" w:hAnsi="宋体" w:hint="eastAsia"/>
          <w:b/>
          <w:sz w:val="28"/>
          <w:szCs w:val="28"/>
          <w:shd w:val="clear" w:color="auto" w:fill="FFFFFF"/>
        </w:rPr>
        <w:t>汇率</w:t>
      </w:r>
      <w:r w:rsidR="005F5955">
        <w:rPr>
          <w:rFonts w:ascii="宋体" w:hAnsi="宋体" w:hint="eastAsia"/>
          <w:b/>
          <w:sz w:val="28"/>
          <w:szCs w:val="28"/>
          <w:shd w:val="clear" w:color="auto" w:fill="FFFFFF"/>
        </w:rPr>
        <w:t>走贬</w:t>
      </w:r>
    </w:p>
    <w:p w:rsidR="003359EB" w:rsidRPr="003359EB" w:rsidRDefault="003359EB" w:rsidP="003359EB">
      <w:pPr>
        <w:rPr>
          <w:rFonts w:ascii="宋体" w:hAnsi="宋体"/>
          <w:sz w:val="28"/>
          <w:szCs w:val="28"/>
        </w:rPr>
      </w:pPr>
    </w:p>
    <w:p w:rsidR="003359EB" w:rsidRPr="003359EB" w:rsidRDefault="003359EB" w:rsidP="003359EB">
      <w:pPr>
        <w:ind w:firstLineChars="200" w:firstLine="560"/>
        <w:rPr>
          <w:rFonts w:ascii="宋体" w:hAnsi="宋体"/>
          <w:sz w:val="28"/>
          <w:szCs w:val="28"/>
        </w:rPr>
      </w:pPr>
      <w:r w:rsidRPr="003359EB">
        <w:rPr>
          <w:rFonts w:ascii="宋体" w:hAnsi="宋体" w:hint="eastAsia"/>
          <w:sz w:val="28"/>
          <w:szCs w:val="28"/>
        </w:rPr>
        <w:t>6月末，国家外汇储备余额为3.11</w:t>
      </w:r>
      <w:proofErr w:type="gramStart"/>
      <w:r w:rsidRPr="003359EB">
        <w:rPr>
          <w:rFonts w:ascii="宋体" w:hAnsi="宋体" w:hint="eastAsia"/>
          <w:sz w:val="28"/>
          <w:szCs w:val="28"/>
        </w:rPr>
        <w:t>万亿</w:t>
      </w:r>
      <w:proofErr w:type="gramEnd"/>
      <w:r w:rsidRPr="003359EB">
        <w:rPr>
          <w:rFonts w:ascii="宋体" w:hAnsi="宋体" w:hint="eastAsia"/>
          <w:sz w:val="28"/>
          <w:szCs w:val="28"/>
        </w:rPr>
        <w:t>美元。6月末，人民币汇率为1美元兑6.6166元人民币</w:t>
      </w:r>
      <w:r w:rsidR="005F5955">
        <w:rPr>
          <w:rFonts w:ascii="宋体" w:hAnsi="宋体" w:hint="eastAsia"/>
          <w:sz w:val="28"/>
          <w:szCs w:val="28"/>
        </w:rPr>
        <w:t>，比3</w:t>
      </w:r>
      <w:r w:rsidR="001811C4">
        <w:rPr>
          <w:rFonts w:ascii="宋体" w:hAnsi="宋体" w:hint="eastAsia"/>
          <w:sz w:val="28"/>
          <w:szCs w:val="28"/>
        </w:rPr>
        <w:t>月末</w:t>
      </w:r>
      <w:r w:rsidR="005F5955">
        <w:rPr>
          <w:rFonts w:ascii="宋体" w:hAnsi="宋体" w:hint="eastAsia"/>
          <w:sz w:val="28"/>
          <w:szCs w:val="28"/>
        </w:rPr>
        <w:t>贬</w:t>
      </w:r>
      <w:r w:rsidR="001811C4">
        <w:rPr>
          <w:rFonts w:ascii="宋体" w:hAnsi="宋体" w:hint="eastAsia"/>
          <w:sz w:val="28"/>
          <w:szCs w:val="28"/>
        </w:rPr>
        <w:t>值</w:t>
      </w:r>
      <w:r w:rsidR="005F5955">
        <w:rPr>
          <w:rFonts w:ascii="宋体" w:hAnsi="宋体" w:hint="eastAsia"/>
          <w:sz w:val="28"/>
          <w:szCs w:val="28"/>
        </w:rPr>
        <w:t>5%</w:t>
      </w:r>
      <w:r w:rsidRPr="003359EB">
        <w:rPr>
          <w:rFonts w:ascii="宋体" w:hAnsi="宋体" w:hint="eastAsia"/>
          <w:sz w:val="28"/>
          <w:szCs w:val="28"/>
        </w:rPr>
        <w:t>。</w:t>
      </w:r>
    </w:p>
    <w:p w:rsidR="003359EB" w:rsidRPr="003359EB" w:rsidRDefault="003359EB" w:rsidP="003359EB">
      <w:pPr>
        <w:rPr>
          <w:rFonts w:ascii="宋体" w:hAnsi="宋体"/>
          <w:sz w:val="28"/>
          <w:szCs w:val="28"/>
        </w:rPr>
      </w:pPr>
    </w:p>
    <w:p w:rsidR="003359EB" w:rsidRPr="003359EB" w:rsidRDefault="003359EB" w:rsidP="003359EB">
      <w:pPr>
        <w:spacing w:line="360" w:lineRule="auto"/>
        <w:jc w:val="center"/>
        <w:rPr>
          <w:rFonts w:ascii="宋体" w:hAnsi="宋体"/>
          <w:b/>
          <w:kern w:val="0"/>
          <w:sz w:val="28"/>
          <w:szCs w:val="28"/>
        </w:rPr>
      </w:pPr>
      <w:r w:rsidRPr="003359EB">
        <w:rPr>
          <w:rFonts w:ascii="宋体" w:hAnsi="宋体" w:hint="eastAsia"/>
          <w:b/>
          <w:kern w:val="0"/>
          <w:sz w:val="28"/>
          <w:szCs w:val="28"/>
        </w:rPr>
        <w:t>二、因素与结构</w:t>
      </w:r>
    </w:p>
    <w:p w:rsidR="003359EB" w:rsidRPr="003359EB" w:rsidRDefault="003359EB" w:rsidP="003359EB">
      <w:pPr>
        <w:spacing w:line="360" w:lineRule="auto"/>
        <w:jc w:val="center"/>
        <w:rPr>
          <w:rFonts w:ascii="宋体" w:hAnsi="宋体"/>
          <w:b/>
          <w:kern w:val="0"/>
          <w:sz w:val="28"/>
          <w:szCs w:val="28"/>
        </w:rPr>
      </w:pPr>
    </w:p>
    <w:p w:rsidR="003359EB" w:rsidRPr="003359EB" w:rsidRDefault="003359EB" w:rsidP="003359EB">
      <w:pPr>
        <w:pStyle w:val="2"/>
        <w:spacing w:line="360" w:lineRule="auto"/>
        <w:ind w:firstLineChars="0" w:firstLine="0"/>
        <w:rPr>
          <w:rFonts w:ascii="宋体" w:hAnsi="宋体"/>
          <w:b/>
          <w:sz w:val="28"/>
          <w:szCs w:val="28"/>
        </w:rPr>
      </w:pPr>
      <w:r w:rsidRPr="003359EB">
        <w:rPr>
          <w:rFonts w:ascii="宋体" w:hAnsi="宋体" w:hint="eastAsia"/>
          <w:b/>
          <w:sz w:val="28"/>
          <w:szCs w:val="28"/>
        </w:rPr>
        <w:t xml:space="preserve">1.固定资产投资回落 </w:t>
      </w:r>
      <w:r w:rsidR="005F5955">
        <w:rPr>
          <w:rFonts w:ascii="宋体" w:hAnsi="宋体" w:hint="eastAsia"/>
          <w:b/>
          <w:sz w:val="28"/>
          <w:szCs w:val="28"/>
        </w:rPr>
        <w:t>居民消费支出增长</w:t>
      </w:r>
      <w:r w:rsidRPr="003359EB">
        <w:rPr>
          <w:rFonts w:ascii="宋体" w:hAnsi="宋体" w:hint="eastAsia"/>
          <w:b/>
          <w:sz w:val="28"/>
          <w:szCs w:val="28"/>
        </w:rPr>
        <w:t xml:space="preserve">   </w:t>
      </w:r>
    </w:p>
    <w:p w:rsidR="003359EB" w:rsidRPr="003359EB" w:rsidRDefault="003359EB" w:rsidP="003359EB">
      <w:pPr>
        <w:rPr>
          <w:rFonts w:ascii="宋体" w:hAnsi="宋体"/>
          <w:sz w:val="28"/>
          <w:szCs w:val="28"/>
        </w:rPr>
      </w:pPr>
    </w:p>
    <w:p w:rsidR="003359EB" w:rsidRPr="003359EB" w:rsidRDefault="003359EB" w:rsidP="003359EB">
      <w:pPr>
        <w:ind w:firstLineChars="200" w:firstLine="560"/>
        <w:rPr>
          <w:rFonts w:ascii="宋体" w:hAnsi="宋体"/>
          <w:sz w:val="28"/>
          <w:szCs w:val="28"/>
        </w:rPr>
      </w:pPr>
      <w:r w:rsidRPr="003359EB">
        <w:rPr>
          <w:rFonts w:ascii="宋体" w:hAnsi="宋体" w:hint="eastAsia"/>
          <w:sz w:val="28"/>
          <w:szCs w:val="28"/>
        </w:rPr>
        <w:t>上半年，全国固定资产投资（不含农户）</w:t>
      </w:r>
      <w:r w:rsidRPr="003359EB">
        <w:rPr>
          <w:rFonts w:ascii="宋体" w:hAnsi="宋体"/>
          <w:sz w:val="28"/>
          <w:szCs w:val="28"/>
        </w:rPr>
        <w:t>297316</w:t>
      </w:r>
      <w:r w:rsidRPr="003359EB">
        <w:rPr>
          <w:rFonts w:ascii="宋体" w:hAnsi="宋体" w:hint="eastAsia"/>
          <w:sz w:val="28"/>
          <w:szCs w:val="28"/>
        </w:rPr>
        <w:t>亿元，同比增长</w:t>
      </w:r>
      <w:r w:rsidRPr="003359EB">
        <w:rPr>
          <w:rFonts w:ascii="宋体" w:hAnsi="宋体"/>
          <w:sz w:val="28"/>
          <w:szCs w:val="28"/>
        </w:rPr>
        <w:t>6.0%</w:t>
      </w:r>
      <w:r w:rsidRPr="003359EB">
        <w:rPr>
          <w:rFonts w:ascii="宋体" w:hAnsi="宋体" w:hint="eastAsia"/>
          <w:sz w:val="28"/>
          <w:szCs w:val="28"/>
        </w:rPr>
        <w:t>，增速比一季度回落</w:t>
      </w:r>
      <w:r w:rsidRPr="003359EB">
        <w:rPr>
          <w:rFonts w:ascii="宋体" w:hAnsi="宋体"/>
          <w:sz w:val="28"/>
          <w:szCs w:val="28"/>
        </w:rPr>
        <w:t>1.5</w:t>
      </w:r>
      <w:r w:rsidRPr="003359EB">
        <w:rPr>
          <w:rFonts w:ascii="宋体" w:hAnsi="宋体" w:hint="eastAsia"/>
          <w:sz w:val="28"/>
          <w:szCs w:val="28"/>
        </w:rPr>
        <w:t>个百分点。其中，民间投资</w:t>
      </w:r>
      <w:r w:rsidRPr="003359EB">
        <w:rPr>
          <w:rFonts w:ascii="宋体" w:hAnsi="宋体"/>
          <w:sz w:val="28"/>
          <w:szCs w:val="28"/>
        </w:rPr>
        <w:t>184539</w:t>
      </w:r>
      <w:r w:rsidRPr="003359EB">
        <w:rPr>
          <w:rFonts w:ascii="宋体" w:hAnsi="宋体" w:hint="eastAsia"/>
          <w:sz w:val="28"/>
          <w:szCs w:val="28"/>
        </w:rPr>
        <w:t>亿元，同比增长</w:t>
      </w:r>
      <w:r w:rsidRPr="003359EB">
        <w:rPr>
          <w:rFonts w:ascii="宋体" w:hAnsi="宋体"/>
          <w:sz w:val="28"/>
          <w:szCs w:val="28"/>
        </w:rPr>
        <w:t>8.4%</w:t>
      </w:r>
      <w:r w:rsidRPr="003359EB">
        <w:rPr>
          <w:rFonts w:ascii="宋体" w:hAnsi="宋体" w:hint="eastAsia"/>
          <w:sz w:val="28"/>
          <w:szCs w:val="28"/>
        </w:rPr>
        <w:t>，比上年同期加快</w:t>
      </w:r>
      <w:r w:rsidRPr="003359EB">
        <w:rPr>
          <w:rFonts w:ascii="宋体" w:hAnsi="宋体"/>
          <w:sz w:val="28"/>
          <w:szCs w:val="28"/>
        </w:rPr>
        <w:t>1.2</w:t>
      </w:r>
      <w:r w:rsidRPr="003359EB">
        <w:rPr>
          <w:rFonts w:ascii="宋体" w:hAnsi="宋体" w:hint="eastAsia"/>
          <w:sz w:val="28"/>
          <w:szCs w:val="28"/>
        </w:rPr>
        <w:t>个百分点。分产业看，第一产业投资增长</w:t>
      </w:r>
      <w:r w:rsidRPr="003359EB">
        <w:rPr>
          <w:rFonts w:ascii="宋体" w:hAnsi="宋体"/>
          <w:sz w:val="28"/>
          <w:szCs w:val="28"/>
        </w:rPr>
        <w:t>13.5%</w:t>
      </w:r>
      <w:r w:rsidRPr="003359EB">
        <w:rPr>
          <w:rFonts w:ascii="宋体" w:hAnsi="宋体" w:hint="eastAsia"/>
          <w:sz w:val="28"/>
          <w:szCs w:val="28"/>
        </w:rPr>
        <w:t>；第二产业投资增长</w:t>
      </w:r>
      <w:r w:rsidRPr="003359EB">
        <w:rPr>
          <w:rFonts w:ascii="宋体" w:hAnsi="宋体"/>
          <w:sz w:val="28"/>
          <w:szCs w:val="28"/>
        </w:rPr>
        <w:t>3.8%</w:t>
      </w:r>
      <w:r w:rsidRPr="003359EB">
        <w:rPr>
          <w:rFonts w:ascii="宋体" w:hAnsi="宋体" w:hint="eastAsia"/>
          <w:sz w:val="28"/>
          <w:szCs w:val="28"/>
        </w:rPr>
        <w:t>，其中制造业投资增长</w:t>
      </w:r>
      <w:r w:rsidRPr="003359EB">
        <w:rPr>
          <w:rFonts w:ascii="宋体" w:hAnsi="宋体"/>
          <w:sz w:val="28"/>
          <w:szCs w:val="28"/>
        </w:rPr>
        <w:t>6.8%</w:t>
      </w:r>
      <w:r w:rsidRPr="003359EB">
        <w:rPr>
          <w:rFonts w:ascii="宋体" w:hAnsi="宋体" w:hint="eastAsia"/>
          <w:sz w:val="28"/>
          <w:szCs w:val="28"/>
        </w:rPr>
        <w:t>，增速连续三个月回升，比一季度加快</w:t>
      </w:r>
      <w:r w:rsidRPr="003359EB">
        <w:rPr>
          <w:rFonts w:ascii="宋体" w:hAnsi="宋体"/>
          <w:sz w:val="28"/>
          <w:szCs w:val="28"/>
        </w:rPr>
        <w:t>3.0</w:t>
      </w:r>
      <w:r w:rsidRPr="003359EB">
        <w:rPr>
          <w:rFonts w:ascii="宋体" w:hAnsi="宋体" w:hint="eastAsia"/>
          <w:sz w:val="28"/>
          <w:szCs w:val="28"/>
        </w:rPr>
        <w:t>个百分点，比上年同期加快</w:t>
      </w:r>
      <w:r w:rsidRPr="003359EB">
        <w:rPr>
          <w:rFonts w:ascii="宋体" w:hAnsi="宋体"/>
          <w:sz w:val="28"/>
          <w:szCs w:val="28"/>
        </w:rPr>
        <w:t>1.3</w:t>
      </w:r>
      <w:r w:rsidRPr="003359EB">
        <w:rPr>
          <w:rFonts w:ascii="宋体" w:hAnsi="宋体" w:hint="eastAsia"/>
          <w:sz w:val="28"/>
          <w:szCs w:val="28"/>
        </w:rPr>
        <w:t>个百分点；第三产业投资增长</w:t>
      </w:r>
      <w:r w:rsidRPr="003359EB">
        <w:rPr>
          <w:rFonts w:ascii="宋体" w:hAnsi="宋体"/>
          <w:sz w:val="28"/>
          <w:szCs w:val="28"/>
        </w:rPr>
        <w:t>6.8%</w:t>
      </w:r>
      <w:r w:rsidRPr="003359EB">
        <w:rPr>
          <w:rFonts w:ascii="宋体" w:hAnsi="宋体" w:hint="eastAsia"/>
          <w:sz w:val="28"/>
          <w:szCs w:val="28"/>
        </w:rPr>
        <w:t>，其中基础设施投资增长</w:t>
      </w:r>
      <w:r w:rsidRPr="003359EB">
        <w:rPr>
          <w:rFonts w:ascii="宋体" w:hAnsi="宋体"/>
          <w:sz w:val="28"/>
          <w:szCs w:val="28"/>
        </w:rPr>
        <w:t>7.3%</w:t>
      </w:r>
      <w:r w:rsidRPr="003359EB">
        <w:rPr>
          <w:rFonts w:ascii="宋体" w:hAnsi="宋体" w:hint="eastAsia"/>
          <w:sz w:val="28"/>
          <w:szCs w:val="28"/>
        </w:rPr>
        <w:t>。高技术制造业投资同比增长</w:t>
      </w:r>
      <w:r w:rsidRPr="003359EB">
        <w:rPr>
          <w:rFonts w:ascii="宋体" w:hAnsi="宋体"/>
          <w:sz w:val="28"/>
          <w:szCs w:val="28"/>
        </w:rPr>
        <w:t>13.1%</w:t>
      </w:r>
      <w:r w:rsidRPr="003359EB">
        <w:rPr>
          <w:rFonts w:ascii="宋体" w:hAnsi="宋体" w:hint="eastAsia"/>
          <w:sz w:val="28"/>
          <w:szCs w:val="28"/>
        </w:rPr>
        <w:t>，增速比全部</w:t>
      </w:r>
      <w:proofErr w:type="gramStart"/>
      <w:r w:rsidRPr="003359EB">
        <w:rPr>
          <w:rFonts w:ascii="宋体" w:hAnsi="宋体" w:hint="eastAsia"/>
          <w:sz w:val="28"/>
          <w:szCs w:val="28"/>
        </w:rPr>
        <w:t>投资快</w:t>
      </w:r>
      <w:proofErr w:type="gramEnd"/>
      <w:r w:rsidRPr="003359EB">
        <w:rPr>
          <w:rFonts w:ascii="宋体" w:hAnsi="宋体"/>
          <w:sz w:val="28"/>
          <w:szCs w:val="28"/>
        </w:rPr>
        <w:t>7.1</w:t>
      </w:r>
      <w:r w:rsidRPr="003359EB">
        <w:rPr>
          <w:rFonts w:ascii="宋体" w:hAnsi="宋体" w:hint="eastAsia"/>
          <w:sz w:val="28"/>
          <w:szCs w:val="28"/>
        </w:rPr>
        <w:t>个百分点。上半年，全国房地产开发投资</w:t>
      </w:r>
      <w:r w:rsidRPr="003359EB">
        <w:rPr>
          <w:rFonts w:ascii="宋体" w:hAnsi="宋体"/>
          <w:sz w:val="28"/>
          <w:szCs w:val="28"/>
        </w:rPr>
        <w:t>55531</w:t>
      </w:r>
      <w:r w:rsidRPr="003359EB">
        <w:rPr>
          <w:rFonts w:ascii="宋体" w:hAnsi="宋体" w:hint="eastAsia"/>
          <w:sz w:val="28"/>
          <w:szCs w:val="28"/>
        </w:rPr>
        <w:t>亿元，同比增长</w:t>
      </w:r>
      <w:r w:rsidRPr="003359EB">
        <w:rPr>
          <w:rFonts w:ascii="宋体" w:hAnsi="宋体"/>
          <w:sz w:val="28"/>
          <w:szCs w:val="28"/>
        </w:rPr>
        <w:t>9.7%</w:t>
      </w:r>
      <w:r w:rsidRPr="003359EB">
        <w:rPr>
          <w:rFonts w:ascii="宋体" w:hAnsi="宋体" w:hint="eastAsia"/>
          <w:sz w:val="28"/>
          <w:szCs w:val="28"/>
        </w:rPr>
        <w:t>。全国商品房销售面积</w:t>
      </w:r>
      <w:r w:rsidRPr="003359EB">
        <w:rPr>
          <w:rFonts w:ascii="宋体" w:hAnsi="宋体"/>
          <w:sz w:val="28"/>
          <w:szCs w:val="28"/>
        </w:rPr>
        <w:t>77143</w:t>
      </w:r>
      <w:r w:rsidRPr="003359EB">
        <w:rPr>
          <w:rFonts w:ascii="宋体" w:hAnsi="宋体" w:hint="eastAsia"/>
          <w:sz w:val="28"/>
          <w:szCs w:val="28"/>
        </w:rPr>
        <w:t>万平方米，增长</w:t>
      </w:r>
      <w:r w:rsidRPr="003359EB">
        <w:rPr>
          <w:rFonts w:ascii="宋体" w:hAnsi="宋体"/>
          <w:sz w:val="28"/>
          <w:szCs w:val="28"/>
        </w:rPr>
        <w:t>3.3%</w:t>
      </w:r>
      <w:r w:rsidRPr="003359EB">
        <w:rPr>
          <w:rFonts w:ascii="宋体" w:hAnsi="宋体" w:hint="eastAsia"/>
          <w:sz w:val="28"/>
          <w:szCs w:val="28"/>
        </w:rPr>
        <w:t>。全国商品房销售额</w:t>
      </w:r>
      <w:r w:rsidRPr="003359EB">
        <w:rPr>
          <w:rFonts w:ascii="宋体" w:hAnsi="宋体"/>
          <w:sz w:val="28"/>
          <w:szCs w:val="28"/>
        </w:rPr>
        <w:t>66945</w:t>
      </w:r>
      <w:r w:rsidRPr="003359EB">
        <w:rPr>
          <w:rFonts w:ascii="宋体" w:hAnsi="宋体" w:hint="eastAsia"/>
          <w:sz w:val="28"/>
          <w:szCs w:val="28"/>
        </w:rPr>
        <w:t>亿元，增长</w:t>
      </w:r>
      <w:r w:rsidRPr="003359EB">
        <w:rPr>
          <w:rFonts w:ascii="宋体" w:hAnsi="宋体"/>
          <w:sz w:val="28"/>
          <w:szCs w:val="28"/>
        </w:rPr>
        <w:t>13.2%</w:t>
      </w:r>
      <w:r w:rsidRPr="003359EB">
        <w:rPr>
          <w:rFonts w:ascii="宋体" w:hAnsi="宋体" w:hint="eastAsia"/>
          <w:sz w:val="28"/>
          <w:szCs w:val="28"/>
        </w:rPr>
        <w:t>。</w:t>
      </w:r>
    </w:p>
    <w:p w:rsidR="003359EB" w:rsidRPr="003359EB" w:rsidRDefault="003359EB" w:rsidP="003359EB">
      <w:pPr>
        <w:ind w:firstLineChars="200" w:firstLine="560"/>
        <w:rPr>
          <w:rFonts w:ascii="宋体" w:hAnsi="宋体"/>
          <w:sz w:val="28"/>
          <w:szCs w:val="28"/>
        </w:rPr>
      </w:pPr>
      <w:r w:rsidRPr="003359EB">
        <w:rPr>
          <w:noProof/>
          <w:sz w:val="28"/>
          <w:szCs w:val="28"/>
        </w:rPr>
        <w:drawing>
          <wp:inline distT="0" distB="0" distL="0" distR="0">
            <wp:extent cx="4886325" cy="2952750"/>
            <wp:effectExtent l="0" t="0" r="9525" b="0"/>
            <wp:docPr id="4" name="图表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F362B24-5961-4733-9FAE-0F54B25F06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258A" w:rsidRPr="003359EB" w:rsidRDefault="0042258A" w:rsidP="0042258A">
      <w:pPr>
        <w:ind w:firstLineChars="200" w:firstLine="560"/>
        <w:rPr>
          <w:rFonts w:ascii="宋体" w:hAnsi="宋体"/>
          <w:sz w:val="28"/>
          <w:szCs w:val="28"/>
        </w:rPr>
      </w:pPr>
      <w:r w:rsidRPr="003359EB">
        <w:rPr>
          <w:rFonts w:ascii="宋体" w:hAnsi="宋体" w:hint="eastAsia"/>
          <w:sz w:val="28"/>
          <w:szCs w:val="28"/>
        </w:rPr>
        <w:t>上半年，全国居民人均消费支出</w:t>
      </w:r>
      <w:r w:rsidRPr="003359EB">
        <w:rPr>
          <w:rFonts w:ascii="宋体" w:hAnsi="宋体"/>
          <w:sz w:val="28"/>
          <w:szCs w:val="28"/>
        </w:rPr>
        <w:t>9609</w:t>
      </w:r>
      <w:r w:rsidRPr="003359EB">
        <w:rPr>
          <w:rFonts w:ascii="宋体" w:hAnsi="宋体" w:hint="eastAsia"/>
          <w:sz w:val="28"/>
          <w:szCs w:val="28"/>
        </w:rPr>
        <w:t>元，同比名义增长</w:t>
      </w:r>
      <w:r w:rsidRPr="003359EB">
        <w:rPr>
          <w:rFonts w:ascii="宋体" w:hAnsi="宋体"/>
          <w:sz w:val="28"/>
          <w:szCs w:val="28"/>
        </w:rPr>
        <w:t>8.8%</w:t>
      </w:r>
      <w:r w:rsidRPr="003359EB">
        <w:rPr>
          <w:rFonts w:ascii="宋体" w:hAnsi="宋体" w:hint="eastAsia"/>
          <w:sz w:val="28"/>
          <w:szCs w:val="28"/>
        </w:rPr>
        <w:t>，比一季度加快</w:t>
      </w:r>
      <w:r w:rsidRPr="003359EB">
        <w:rPr>
          <w:rFonts w:ascii="宋体" w:hAnsi="宋体"/>
          <w:sz w:val="28"/>
          <w:szCs w:val="28"/>
        </w:rPr>
        <w:t>1.2</w:t>
      </w:r>
      <w:r w:rsidRPr="003359EB">
        <w:rPr>
          <w:rFonts w:ascii="宋体" w:hAnsi="宋体" w:hint="eastAsia"/>
          <w:sz w:val="28"/>
          <w:szCs w:val="28"/>
        </w:rPr>
        <w:t>个百分点，扣除价格因素实际增长</w:t>
      </w:r>
      <w:r w:rsidRPr="003359EB">
        <w:rPr>
          <w:rFonts w:ascii="宋体" w:hAnsi="宋体"/>
          <w:sz w:val="28"/>
          <w:szCs w:val="28"/>
        </w:rPr>
        <w:t>6.7%</w:t>
      </w:r>
      <w:r w:rsidRPr="003359EB">
        <w:rPr>
          <w:rFonts w:ascii="宋体" w:hAnsi="宋体" w:hint="eastAsia"/>
          <w:sz w:val="28"/>
          <w:szCs w:val="28"/>
        </w:rPr>
        <w:t>，加快</w:t>
      </w:r>
      <w:r w:rsidRPr="003359EB">
        <w:rPr>
          <w:rFonts w:ascii="宋体" w:hAnsi="宋体"/>
          <w:sz w:val="28"/>
          <w:szCs w:val="28"/>
        </w:rPr>
        <w:t>1.3</w:t>
      </w:r>
      <w:r w:rsidRPr="003359EB">
        <w:rPr>
          <w:rFonts w:ascii="宋体" w:hAnsi="宋体" w:hint="eastAsia"/>
          <w:sz w:val="28"/>
          <w:szCs w:val="28"/>
        </w:rPr>
        <w:lastRenderedPageBreak/>
        <w:t>个百分点。其中，城镇居民人均消费支出名义增长</w:t>
      </w:r>
      <w:r w:rsidRPr="003359EB">
        <w:rPr>
          <w:rFonts w:ascii="宋体" w:hAnsi="宋体"/>
          <w:sz w:val="28"/>
          <w:szCs w:val="28"/>
        </w:rPr>
        <w:t>6.8%</w:t>
      </w:r>
      <w:r w:rsidRPr="003359EB">
        <w:rPr>
          <w:rFonts w:ascii="宋体" w:hAnsi="宋体" w:hint="eastAsia"/>
          <w:sz w:val="28"/>
          <w:szCs w:val="28"/>
        </w:rPr>
        <w:t>，加快</w:t>
      </w:r>
      <w:r w:rsidRPr="003359EB">
        <w:rPr>
          <w:rFonts w:ascii="宋体" w:hAnsi="宋体"/>
          <w:sz w:val="28"/>
          <w:szCs w:val="28"/>
        </w:rPr>
        <w:t>1.1</w:t>
      </w:r>
      <w:r w:rsidRPr="003359EB">
        <w:rPr>
          <w:rFonts w:ascii="宋体" w:hAnsi="宋体" w:hint="eastAsia"/>
          <w:sz w:val="28"/>
          <w:szCs w:val="28"/>
        </w:rPr>
        <w:t>个百分点；农村居民人均消费支出名义增长</w:t>
      </w:r>
      <w:r w:rsidRPr="003359EB">
        <w:rPr>
          <w:rFonts w:ascii="宋体" w:hAnsi="宋体"/>
          <w:sz w:val="28"/>
          <w:szCs w:val="28"/>
        </w:rPr>
        <w:t>12.2%</w:t>
      </w:r>
      <w:r w:rsidRPr="003359EB">
        <w:rPr>
          <w:rFonts w:ascii="宋体" w:hAnsi="宋体" w:hint="eastAsia"/>
          <w:sz w:val="28"/>
          <w:szCs w:val="28"/>
        </w:rPr>
        <w:t>，加快</w:t>
      </w:r>
      <w:r w:rsidRPr="003359EB">
        <w:rPr>
          <w:rFonts w:ascii="宋体" w:hAnsi="宋体"/>
          <w:sz w:val="28"/>
          <w:szCs w:val="28"/>
        </w:rPr>
        <w:t>1.2</w:t>
      </w:r>
      <w:r w:rsidRPr="003359EB">
        <w:rPr>
          <w:rFonts w:ascii="宋体" w:hAnsi="宋体" w:hint="eastAsia"/>
          <w:sz w:val="28"/>
          <w:szCs w:val="28"/>
        </w:rPr>
        <w:t>个百分点。上半年，社会消费品零售总额</w:t>
      </w:r>
      <w:r w:rsidRPr="003359EB">
        <w:rPr>
          <w:rFonts w:ascii="宋体" w:hAnsi="宋体"/>
          <w:sz w:val="28"/>
          <w:szCs w:val="28"/>
        </w:rPr>
        <w:t>180018</w:t>
      </w:r>
      <w:r w:rsidRPr="003359EB">
        <w:rPr>
          <w:rFonts w:ascii="宋体" w:hAnsi="宋体" w:hint="eastAsia"/>
          <w:sz w:val="28"/>
          <w:szCs w:val="28"/>
        </w:rPr>
        <w:t>亿元，同比增长</w:t>
      </w:r>
      <w:r w:rsidRPr="003359EB">
        <w:rPr>
          <w:rFonts w:ascii="宋体" w:hAnsi="宋体"/>
          <w:sz w:val="28"/>
          <w:szCs w:val="28"/>
        </w:rPr>
        <w:t>9.4%</w:t>
      </w:r>
      <w:r w:rsidRPr="003359EB">
        <w:rPr>
          <w:rFonts w:ascii="宋体" w:hAnsi="宋体" w:hint="eastAsia"/>
          <w:sz w:val="28"/>
          <w:szCs w:val="28"/>
        </w:rPr>
        <w:t>，增速比一季度回落</w:t>
      </w:r>
      <w:r w:rsidRPr="003359EB">
        <w:rPr>
          <w:rFonts w:ascii="宋体" w:hAnsi="宋体"/>
          <w:sz w:val="28"/>
          <w:szCs w:val="28"/>
        </w:rPr>
        <w:t>0.4</w:t>
      </w:r>
      <w:r w:rsidRPr="003359EB">
        <w:rPr>
          <w:rFonts w:ascii="宋体" w:hAnsi="宋体" w:hint="eastAsia"/>
          <w:sz w:val="28"/>
          <w:szCs w:val="28"/>
        </w:rPr>
        <w:t>个百分点。</w:t>
      </w:r>
    </w:p>
    <w:p w:rsidR="003359EB" w:rsidRPr="003359EB" w:rsidRDefault="003359EB" w:rsidP="003359EB">
      <w:pPr>
        <w:spacing w:line="360" w:lineRule="auto"/>
        <w:rPr>
          <w:rFonts w:ascii="宋体" w:hAnsi="宋体"/>
          <w:b/>
          <w:sz w:val="28"/>
          <w:szCs w:val="28"/>
        </w:rPr>
      </w:pPr>
      <w:r w:rsidRPr="003359EB">
        <w:rPr>
          <w:rFonts w:ascii="宋体" w:hAnsi="宋体"/>
          <w:b/>
          <w:sz w:val="28"/>
          <w:szCs w:val="28"/>
        </w:rPr>
        <w:t>2.</w:t>
      </w:r>
      <w:r w:rsidRPr="003359EB">
        <w:rPr>
          <w:rFonts w:ascii="宋体" w:hAnsi="宋体" w:hint="eastAsia"/>
          <w:b/>
          <w:sz w:val="28"/>
          <w:szCs w:val="28"/>
        </w:rPr>
        <w:t xml:space="preserve">出口剧烈下滑  吸收外资增长  </w:t>
      </w:r>
    </w:p>
    <w:p w:rsidR="003359EB" w:rsidRPr="003359EB" w:rsidRDefault="003359EB" w:rsidP="003359EB">
      <w:pPr>
        <w:ind w:firstLineChars="200" w:firstLine="560"/>
        <w:rPr>
          <w:rFonts w:ascii="宋体" w:hAnsi="宋体"/>
          <w:color w:val="333333"/>
          <w:sz w:val="28"/>
          <w:szCs w:val="28"/>
        </w:rPr>
      </w:pPr>
    </w:p>
    <w:p w:rsidR="003359EB" w:rsidRPr="003359EB" w:rsidRDefault="003359EB" w:rsidP="003359EB">
      <w:pPr>
        <w:ind w:firstLineChars="200" w:firstLine="560"/>
        <w:rPr>
          <w:rFonts w:ascii="宋体" w:hAnsi="宋体"/>
          <w:color w:val="333333"/>
          <w:sz w:val="28"/>
          <w:szCs w:val="28"/>
        </w:rPr>
      </w:pPr>
      <w:r w:rsidRPr="003359EB">
        <w:rPr>
          <w:rFonts w:ascii="宋体" w:hAnsi="宋体" w:hint="eastAsia"/>
          <w:color w:val="333333"/>
          <w:sz w:val="28"/>
          <w:szCs w:val="28"/>
        </w:rPr>
        <w:t>上半年，货物进出口总额</w:t>
      </w:r>
      <w:r w:rsidRPr="003359EB">
        <w:rPr>
          <w:rFonts w:ascii="宋体" w:hAnsi="宋体"/>
          <w:color w:val="333333"/>
          <w:sz w:val="28"/>
          <w:szCs w:val="28"/>
        </w:rPr>
        <w:t>141227</w:t>
      </w:r>
      <w:r w:rsidRPr="003359EB">
        <w:rPr>
          <w:rFonts w:ascii="宋体" w:hAnsi="宋体" w:hint="eastAsia"/>
          <w:color w:val="333333"/>
          <w:sz w:val="28"/>
          <w:szCs w:val="28"/>
        </w:rPr>
        <w:t>亿元，同比增长</w:t>
      </w:r>
      <w:r w:rsidRPr="003359EB">
        <w:rPr>
          <w:rFonts w:ascii="宋体" w:hAnsi="宋体"/>
          <w:color w:val="333333"/>
          <w:sz w:val="28"/>
          <w:szCs w:val="28"/>
        </w:rPr>
        <w:t>7.9%</w:t>
      </w:r>
      <w:r w:rsidRPr="003359EB">
        <w:rPr>
          <w:rFonts w:ascii="宋体" w:hAnsi="宋体" w:hint="eastAsia"/>
          <w:color w:val="333333"/>
          <w:sz w:val="28"/>
          <w:szCs w:val="28"/>
        </w:rPr>
        <w:t>。其中，出口</w:t>
      </w:r>
      <w:r w:rsidRPr="003359EB">
        <w:rPr>
          <w:rFonts w:ascii="宋体" w:hAnsi="宋体"/>
          <w:color w:val="333333"/>
          <w:sz w:val="28"/>
          <w:szCs w:val="28"/>
        </w:rPr>
        <w:t>75120</w:t>
      </w:r>
      <w:r w:rsidRPr="003359EB">
        <w:rPr>
          <w:rFonts w:ascii="宋体" w:hAnsi="宋体" w:hint="eastAsia"/>
          <w:color w:val="333333"/>
          <w:sz w:val="28"/>
          <w:szCs w:val="28"/>
        </w:rPr>
        <w:t>亿元，增长</w:t>
      </w:r>
      <w:r w:rsidRPr="003359EB">
        <w:rPr>
          <w:rFonts w:ascii="宋体" w:hAnsi="宋体"/>
          <w:color w:val="333333"/>
          <w:sz w:val="28"/>
          <w:szCs w:val="28"/>
        </w:rPr>
        <w:t>4.9%</w:t>
      </w:r>
      <w:r w:rsidR="005F5955">
        <w:rPr>
          <w:rFonts w:ascii="宋体" w:hAnsi="宋体" w:hint="eastAsia"/>
          <w:color w:val="333333"/>
          <w:sz w:val="28"/>
          <w:szCs w:val="28"/>
        </w:rPr>
        <w:t>，比1季度回落2.5个百分点</w:t>
      </w:r>
      <w:r w:rsidRPr="003359EB">
        <w:rPr>
          <w:rFonts w:ascii="宋体" w:hAnsi="宋体" w:hint="eastAsia"/>
          <w:color w:val="333333"/>
          <w:sz w:val="28"/>
          <w:szCs w:val="28"/>
        </w:rPr>
        <w:t>；进口</w:t>
      </w:r>
      <w:r w:rsidRPr="003359EB">
        <w:rPr>
          <w:rFonts w:ascii="宋体" w:hAnsi="宋体"/>
          <w:color w:val="333333"/>
          <w:sz w:val="28"/>
          <w:szCs w:val="28"/>
        </w:rPr>
        <w:t>66107</w:t>
      </w:r>
      <w:r w:rsidRPr="003359EB">
        <w:rPr>
          <w:rFonts w:ascii="宋体" w:hAnsi="宋体" w:hint="eastAsia"/>
          <w:color w:val="333333"/>
          <w:sz w:val="28"/>
          <w:szCs w:val="28"/>
        </w:rPr>
        <w:t>亿元，增长</w:t>
      </w:r>
      <w:r w:rsidRPr="003359EB">
        <w:rPr>
          <w:rFonts w:ascii="宋体" w:hAnsi="宋体"/>
          <w:color w:val="333333"/>
          <w:sz w:val="28"/>
          <w:szCs w:val="28"/>
        </w:rPr>
        <w:t>11.5%</w:t>
      </w:r>
      <w:r w:rsidR="005F5955">
        <w:rPr>
          <w:rFonts w:ascii="宋体" w:hAnsi="宋体" w:hint="eastAsia"/>
          <w:color w:val="333333"/>
          <w:sz w:val="28"/>
          <w:szCs w:val="28"/>
        </w:rPr>
        <w:t>，与1季度基本持平</w:t>
      </w:r>
      <w:r w:rsidRPr="003359EB">
        <w:rPr>
          <w:rFonts w:ascii="宋体" w:hAnsi="宋体" w:hint="eastAsia"/>
          <w:color w:val="333333"/>
          <w:sz w:val="28"/>
          <w:szCs w:val="28"/>
        </w:rPr>
        <w:t>。进出口相抵，顺差</w:t>
      </w:r>
      <w:r w:rsidRPr="003359EB">
        <w:rPr>
          <w:rFonts w:ascii="宋体" w:hAnsi="宋体"/>
          <w:color w:val="333333"/>
          <w:sz w:val="28"/>
          <w:szCs w:val="28"/>
        </w:rPr>
        <w:t>9013</w:t>
      </w:r>
      <w:r w:rsidRPr="003359EB">
        <w:rPr>
          <w:rFonts w:ascii="宋体" w:hAnsi="宋体" w:hint="eastAsia"/>
          <w:color w:val="333333"/>
          <w:sz w:val="28"/>
          <w:szCs w:val="28"/>
        </w:rPr>
        <w:t>亿元，比上年同期收窄</w:t>
      </w:r>
      <w:r w:rsidRPr="003359EB">
        <w:rPr>
          <w:rFonts w:ascii="宋体" w:hAnsi="宋体"/>
          <w:color w:val="333333"/>
          <w:sz w:val="28"/>
          <w:szCs w:val="28"/>
        </w:rPr>
        <w:t>26.7%</w:t>
      </w:r>
      <w:r w:rsidRPr="003359EB">
        <w:rPr>
          <w:rFonts w:ascii="宋体" w:hAnsi="宋体" w:hint="eastAsia"/>
          <w:color w:val="333333"/>
          <w:sz w:val="28"/>
          <w:szCs w:val="28"/>
        </w:rPr>
        <w:t>。贸易结构进一步优化，一般贸易进出口增长</w:t>
      </w:r>
      <w:r w:rsidRPr="003359EB">
        <w:rPr>
          <w:rFonts w:ascii="宋体" w:hAnsi="宋体"/>
          <w:color w:val="333333"/>
          <w:sz w:val="28"/>
          <w:szCs w:val="28"/>
        </w:rPr>
        <w:t>12.2%</w:t>
      </w:r>
      <w:r w:rsidRPr="003359EB">
        <w:rPr>
          <w:rFonts w:ascii="宋体" w:hAnsi="宋体" w:hint="eastAsia"/>
          <w:color w:val="333333"/>
          <w:sz w:val="28"/>
          <w:szCs w:val="28"/>
        </w:rPr>
        <w:t>，占进出口总额的</w:t>
      </w:r>
      <w:r w:rsidRPr="003359EB">
        <w:rPr>
          <w:rFonts w:ascii="宋体" w:hAnsi="宋体"/>
          <w:color w:val="333333"/>
          <w:sz w:val="28"/>
          <w:szCs w:val="28"/>
        </w:rPr>
        <w:t>59%</w:t>
      </w:r>
      <w:r w:rsidRPr="003359EB">
        <w:rPr>
          <w:rFonts w:ascii="宋体" w:hAnsi="宋体" w:hint="eastAsia"/>
          <w:color w:val="333333"/>
          <w:sz w:val="28"/>
          <w:szCs w:val="28"/>
        </w:rPr>
        <w:t>，比上年同期提高</w:t>
      </w:r>
      <w:r w:rsidRPr="003359EB">
        <w:rPr>
          <w:rFonts w:ascii="宋体" w:hAnsi="宋体"/>
          <w:color w:val="333333"/>
          <w:sz w:val="28"/>
          <w:szCs w:val="28"/>
        </w:rPr>
        <w:t>2.3</w:t>
      </w:r>
      <w:r w:rsidRPr="003359EB">
        <w:rPr>
          <w:rFonts w:ascii="宋体" w:hAnsi="宋体" w:hint="eastAsia"/>
          <w:color w:val="333333"/>
          <w:sz w:val="28"/>
          <w:szCs w:val="28"/>
        </w:rPr>
        <w:t>个百分点。机电产品出口增长</w:t>
      </w:r>
      <w:r w:rsidRPr="003359EB">
        <w:rPr>
          <w:rFonts w:ascii="宋体" w:hAnsi="宋体"/>
          <w:color w:val="333333"/>
          <w:sz w:val="28"/>
          <w:szCs w:val="28"/>
        </w:rPr>
        <w:t>7%</w:t>
      </w:r>
      <w:r w:rsidRPr="003359EB">
        <w:rPr>
          <w:rFonts w:ascii="宋体" w:hAnsi="宋体" w:hint="eastAsia"/>
          <w:color w:val="333333"/>
          <w:sz w:val="28"/>
          <w:szCs w:val="28"/>
        </w:rPr>
        <w:t>，占出口总额的</w:t>
      </w:r>
      <w:r w:rsidRPr="003359EB">
        <w:rPr>
          <w:rFonts w:ascii="宋体" w:hAnsi="宋体"/>
          <w:color w:val="333333"/>
          <w:sz w:val="28"/>
          <w:szCs w:val="28"/>
        </w:rPr>
        <w:t>58.6%</w:t>
      </w:r>
      <w:r w:rsidRPr="003359EB">
        <w:rPr>
          <w:rFonts w:ascii="宋体" w:hAnsi="宋体" w:hint="eastAsia"/>
          <w:color w:val="333333"/>
          <w:sz w:val="28"/>
          <w:szCs w:val="28"/>
        </w:rPr>
        <w:t>。对前三大贸易伙伴进出口保持增长，我国对欧盟、美国和东盟进出口分别增长</w:t>
      </w:r>
      <w:r w:rsidRPr="003359EB">
        <w:rPr>
          <w:rFonts w:ascii="宋体" w:hAnsi="宋体"/>
          <w:color w:val="333333"/>
          <w:sz w:val="28"/>
          <w:szCs w:val="28"/>
        </w:rPr>
        <w:t>5.3%</w:t>
      </w:r>
      <w:r w:rsidRPr="003359EB">
        <w:rPr>
          <w:rFonts w:ascii="宋体" w:hAnsi="宋体" w:hint="eastAsia"/>
          <w:color w:val="333333"/>
          <w:sz w:val="28"/>
          <w:szCs w:val="28"/>
        </w:rPr>
        <w:t>、</w:t>
      </w:r>
      <w:r w:rsidRPr="003359EB">
        <w:rPr>
          <w:rFonts w:ascii="宋体" w:hAnsi="宋体"/>
          <w:color w:val="333333"/>
          <w:sz w:val="28"/>
          <w:szCs w:val="28"/>
        </w:rPr>
        <w:t>5.2%</w:t>
      </w:r>
      <w:r w:rsidRPr="003359EB">
        <w:rPr>
          <w:rFonts w:ascii="宋体" w:hAnsi="宋体" w:hint="eastAsia"/>
          <w:color w:val="333333"/>
          <w:sz w:val="28"/>
          <w:szCs w:val="28"/>
        </w:rPr>
        <w:t>和</w:t>
      </w:r>
      <w:r w:rsidRPr="003359EB">
        <w:rPr>
          <w:rFonts w:ascii="宋体" w:hAnsi="宋体"/>
          <w:color w:val="333333"/>
          <w:sz w:val="28"/>
          <w:szCs w:val="28"/>
        </w:rPr>
        <w:t>11%</w:t>
      </w:r>
      <w:r w:rsidRPr="003359EB">
        <w:rPr>
          <w:rFonts w:ascii="宋体" w:hAnsi="宋体" w:hint="eastAsia"/>
          <w:color w:val="333333"/>
          <w:sz w:val="28"/>
          <w:szCs w:val="28"/>
        </w:rPr>
        <w:t>，三者合计占我国进出口总额的</w:t>
      </w:r>
      <w:r w:rsidRPr="003359EB">
        <w:rPr>
          <w:rFonts w:ascii="宋体" w:hAnsi="宋体"/>
          <w:color w:val="333333"/>
          <w:sz w:val="28"/>
          <w:szCs w:val="28"/>
        </w:rPr>
        <w:t>41%</w:t>
      </w:r>
      <w:r w:rsidRPr="003359EB">
        <w:rPr>
          <w:rFonts w:ascii="宋体" w:hAnsi="宋体" w:hint="eastAsia"/>
          <w:color w:val="333333"/>
          <w:sz w:val="28"/>
          <w:szCs w:val="28"/>
        </w:rPr>
        <w:t>。同期，我国对中东欧</w:t>
      </w:r>
      <w:r w:rsidRPr="003359EB">
        <w:rPr>
          <w:rFonts w:ascii="宋体" w:hAnsi="宋体"/>
          <w:color w:val="333333"/>
          <w:sz w:val="28"/>
          <w:szCs w:val="28"/>
        </w:rPr>
        <w:t>16</w:t>
      </w:r>
      <w:r w:rsidRPr="003359EB">
        <w:rPr>
          <w:rFonts w:ascii="宋体" w:hAnsi="宋体" w:hint="eastAsia"/>
          <w:color w:val="333333"/>
          <w:sz w:val="28"/>
          <w:szCs w:val="28"/>
        </w:rPr>
        <w:t>国进出口增长</w:t>
      </w:r>
      <w:r w:rsidRPr="003359EB">
        <w:rPr>
          <w:rFonts w:ascii="宋体" w:hAnsi="宋体"/>
          <w:color w:val="333333"/>
          <w:sz w:val="28"/>
          <w:szCs w:val="28"/>
        </w:rPr>
        <w:t>14.7%</w:t>
      </w:r>
      <w:r w:rsidRPr="003359EB">
        <w:rPr>
          <w:rFonts w:ascii="宋体" w:hAnsi="宋体" w:hint="eastAsia"/>
          <w:color w:val="333333"/>
          <w:sz w:val="28"/>
          <w:szCs w:val="28"/>
        </w:rPr>
        <w:t>，高出货物进出口总额增速</w:t>
      </w:r>
      <w:r w:rsidRPr="003359EB">
        <w:rPr>
          <w:rFonts w:ascii="宋体" w:hAnsi="宋体"/>
          <w:color w:val="333333"/>
          <w:sz w:val="28"/>
          <w:szCs w:val="28"/>
        </w:rPr>
        <w:t>6.8</w:t>
      </w:r>
      <w:r w:rsidRPr="003359EB">
        <w:rPr>
          <w:rFonts w:ascii="宋体" w:hAnsi="宋体" w:hint="eastAsia"/>
          <w:color w:val="333333"/>
          <w:sz w:val="28"/>
          <w:szCs w:val="28"/>
        </w:rPr>
        <w:t>个百分点。</w:t>
      </w:r>
    </w:p>
    <w:p w:rsidR="003359EB" w:rsidRPr="003359EB" w:rsidRDefault="003359EB" w:rsidP="003359EB">
      <w:pPr>
        <w:ind w:firstLineChars="200" w:firstLine="560"/>
        <w:rPr>
          <w:rFonts w:ascii="宋体" w:hAnsi="宋体"/>
          <w:sz w:val="28"/>
          <w:szCs w:val="28"/>
        </w:rPr>
      </w:pPr>
      <w:r w:rsidRPr="003359EB">
        <w:rPr>
          <w:rFonts w:ascii="宋体" w:hAnsi="宋体"/>
          <w:color w:val="444444"/>
          <w:sz w:val="28"/>
          <w:szCs w:val="28"/>
        </w:rPr>
        <w:t>1-6月全国新设立外商投资企业29591家，同比增长96.6%，实际使用外资4462.9亿元人民币，同比增长1.</w:t>
      </w:r>
      <w:bookmarkStart w:id="0" w:name="_GoBack"/>
      <w:bookmarkEnd w:id="0"/>
      <w:r w:rsidRPr="003359EB">
        <w:rPr>
          <w:rFonts w:ascii="宋体" w:hAnsi="宋体"/>
          <w:color w:val="444444"/>
          <w:sz w:val="28"/>
          <w:szCs w:val="28"/>
        </w:rPr>
        <w:t>1%，折合成美元是683.2亿美元，同比增长4.1%。</w:t>
      </w:r>
    </w:p>
    <w:p w:rsidR="003359EB" w:rsidRPr="003359EB" w:rsidRDefault="003359EB" w:rsidP="003359EB">
      <w:pPr>
        <w:ind w:firstLineChars="200" w:firstLine="560"/>
        <w:rPr>
          <w:rFonts w:ascii="宋体" w:hAnsi="宋体"/>
          <w:sz w:val="28"/>
          <w:szCs w:val="28"/>
        </w:rPr>
      </w:pPr>
      <w:r w:rsidRPr="003359EB">
        <w:rPr>
          <w:rFonts w:ascii="宋体" w:hAnsi="宋体"/>
          <w:sz w:val="28"/>
          <w:szCs w:val="28"/>
        </w:rPr>
        <w:t>上半年，我国境内投资者共对全球151个国家和地区的3617家境外企业进行了非金融类直接投资，累计实现投资571.8亿美元，同比增长18.7%。</w:t>
      </w:r>
    </w:p>
    <w:p w:rsidR="003359EB" w:rsidRPr="003359EB" w:rsidRDefault="003359EB" w:rsidP="003359EB">
      <w:pPr>
        <w:rPr>
          <w:rFonts w:ascii="宋体" w:hAnsi="宋体"/>
          <w:sz w:val="28"/>
          <w:szCs w:val="28"/>
        </w:rPr>
      </w:pPr>
      <w:r w:rsidRPr="003359EB">
        <w:rPr>
          <w:noProof/>
          <w:sz w:val="28"/>
          <w:szCs w:val="28"/>
        </w:rPr>
        <w:lastRenderedPageBreak/>
        <w:drawing>
          <wp:inline distT="0" distB="0" distL="0" distR="0">
            <wp:extent cx="5274310" cy="2776220"/>
            <wp:effectExtent l="0" t="0" r="2540" b="5080"/>
            <wp:docPr id="5" name="图表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E487639-8271-43B5-AA2A-BA4DFA0C7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59EB" w:rsidRPr="003359EB" w:rsidRDefault="003359EB" w:rsidP="003359EB">
      <w:pPr>
        <w:spacing w:line="360" w:lineRule="auto"/>
        <w:rPr>
          <w:rFonts w:ascii="宋体"/>
          <w:b/>
          <w:sz w:val="28"/>
          <w:szCs w:val="28"/>
        </w:rPr>
      </w:pPr>
      <w:r w:rsidRPr="003359EB">
        <w:rPr>
          <w:rFonts w:ascii="宋体" w:hAnsi="宋体"/>
          <w:b/>
          <w:sz w:val="28"/>
          <w:szCs w:val="28"/>
        </w:rPr>
        <w:t>3.</w:t>
      </w:r>
      <w:r w:rsidR="00356C7D">
        <w:rPr>
          <w:rFonts w:ascii="宋体" w:hAnsi="宋体" w:hint="eastAsia"/>
          <w:b/>
          <w:sz w:val="28"/>
          <w:szCs w:val="28"/>
        </w:rPr>
        <w:t xml:space="preserve">税收和非税收入一增一降 </w:t>
      </w:r>
      <w:r w:rsidRPr="003359EB">
        <w:rPr>
          <w:rFonts w:ascii="宋体" w:hAnsi="宋体" w:hint="eastAsia"/>
          <w:b/>
          <w:sz w:val="28"/>
          <w:szCs w:val="28"/>
        </w:rPr>
        <w:t>土地出让</w:t>
      </w:r>
      <w:proofErr w:type="gramStart"/>
      <w:r w:rsidRPr="003359EB">
        <w:rPr>
          <w:rFonts w:ascii="宋体" w:hAnsi="宋体" w:hint="eastAsia"/>
          <w:b/>
          <w:sz w:val="28"/>
          <w:szCs w:val="28"/>
        </w:rPr>
        <w:t>金快速</w:t>
      </w:r>
      <w:proofErr w:type="gramEnd"/>
      <w:r w:rsidRPr="003359EB">
        <w:rPr>
          <w:rFonts w:ascii="宋体" w:hAnsi="宋体" w:hint="eastAsia"/>
          <w:b/>
          <w:sz w:val="28"/>
          <w:szCs w:val="28"/>
        </w:rPr>
        <w:t>增长</w:t>
      </w:r>
    </w:p>
    <w:p w:rsidR="003359EB" w:rsidRPr="003359EB" w:rsidRDefault="003359EB" w:rsidP="003359EB">
      <w:pPr>
        <w:ind w:firstLineChars="200" w:firstLine="560"/>
        <w:rPr>
          <w:rFonts w:ascii="宋体" w:hAnsi="宋体"/>
          <w:sz w:val="28"/>
          <w:szCs w:val="28"/>
        </w:rPr>
      </w:pPr>
    </w:p>
    <w:p w:rsidR="003359EB" w:rsidRPr="003359EB" w:rsidRDefault="003359EB" w:rsidP="003359EB">
      <w:pPr>
        <w:ind w:firstLineChars="200" w:firstLine="560"/>
        <w:rPr>
          <w:rFonts w:ascii="宋体" w:hAnsi="宋体" w:cs="Arial"/>
          <w:sz w:val="28"/>
          <w:szCs w:val="28"/>
        </w:rPr>
      </w:pPr>
      <w:r w:rsidRPr="003359EB">
        <w:rPr>
          <w:rFonts w:ascii="宋体" w:hAnsi="宋体" w:cs="Arial"/>
          <w:sz w:val="28"/>
          <w:szCs w:val="28"/>
        </w:rPr>
        <w:t>1-6月累计，全国一般公共预算收入104331亿元，同比增长10.6%。其中，中央一般公共预算收入49890亿元，同比增长13.7%；地方一般公共预算本级收入54441亿元，同比增长8%。全国一般公共预算收入中的税收收入91629亿元，同比增长14.4%；非税收入12702亿元，同比下降10.8%。 </w:t>
      </w:r>
    </w:p>
    <w:p w:rsidR="003359EB" w:rsidRPr="003359EB" w:rsidRDefault="003359EB" w:rsidP="003359EB">
      <w:pPr>
        <w:ind w:firstLineChars="200" w:firstLine="560"/>
        <w:rPr>
          <w:rFonts w:ascii="宋体" w:hAnsi="宋体" w:cs="Arial"/>
          <w:sz w:val="28"/>
          <w:szCs w:val="28"/>
        </w:rPr>
      </w:pPr>
      <w:r w:rsidRPr="003359EB">
        <w:rPr>
          <w:rFonts w:ascii="宋体" w:hAnsi="宋体" w:cs="Arial"/>
          <w:sz w:val="28"/>
          <w:szCs w:val="28"/>
        </w:rPr>
        <w:t>1-6月累计，全国一般公共预算支出111592亿元，同比增长7.8%，为年初预算的53.2%，比去年同期进度加快0.1个百分点。其中，中央一般公共预算本级支出15371亿元，同比增长8.3%；地方一般公共预算支出96221亿元，同比增长7.8%。 </w:t>
      </w:r>
    </w:p>
    <w:p w:rsidR="003359EB" w:rsidRPr="003359EB" w:rsidRDefault="003359EB" w:rsidP="003359EB">
      <w:pPr>
        <w:ind w:firstLineChars="200" w:firstLine="560"/>
        <w:rPr>
          <w:rFonts w:ascii="宋体" w:hAnsi="宋体" w:cs="Arial"/>
          <w:sz w:val="28"/>
          <w:szCs w:val="28"/>
        </w:rPr>
      </w:pPr>
      <w:r w:rsidRPr="003359EB">
        <w:rPr>
          <w:rFonts w:ascii="宋体" w:hAnsi="宋体" w:cs="Arial"/>
          <w:sz w:val="28"/>
          <w:szCs w:val="28"/>
        </w:rPr>
        <w:t>1-6月累计，全国政府性基金预算收入31237亿元，同比增长36%。分中央和地方看，中央政府性基金预算收入1922亿元，同比下降1.9%；地方政府性基金预算本级收入29315亿元，同比增长39.6%，其中国有土地使用权出让收入26941亿元，同比增长43%。 </w:t>
      </w:r>
    </w:p>
    <w:p w:rsidR="003359EB" w:rsidRPr="003359EB" w:rsidRDefault="003359EB" w:rsidP="003359EB">
      <w:pPr>
        <w:ind w:firstLineChars="200" w:firstLine="560"/>
        <w:rPr>
          <w:rFonts w:ascii="宋体" w:hAnsi="宋体" w:cs="Arial"/>
          <w:sz w:val="28"/>
          <w:szCs w:val="28"/>
        </w:rPr>
      </w:pPr>
      <w:r w:rsidRPr="003359EB">
        <w:rPr>
          <w:rFonts w:ascii="宋体" w:hAnsi="宋体" w:cs="Arial"/>
          <w:sz w:val="28"/>
          <w:szCs w:val="28"/>
        </w:rPr>
        <w:lastRenderedPageBreak/>
        <w:t>1-6月累计，全国政府性基金预算支出28130亿元，同比增长37.3%。分中央和地方看，中央政府性基金预算本级支出808亿元，同比下降4%；地方政府性基金预算支出27322元，同比增长39.1%，其中国有土地使用权出让收入相关支出24864亿元，同比增长43%。 </w:t>
      </w:r>
    </w:p>
    <w:p w:rsidR="003359EB" w:rsidRPr="003359EB" w:rsidRDefault="003359EB" w:rsidP="003359EB">
      <w:pPr>
        <w:ind w:firstLineChars="200" w:firstLine="560"/>
        <w:rPr>
          <w:rFonts w:ascii="宋体" w:hAnsi="宋体"/>
          <w:sz w:val="28"/>
          <w:szCs w:val="28"/>
        </w:rPr>
      </w:pPr>
    </w:p>
    <w:p w:rsidR="003359EB" w:rsidRPr="003359EB" w:rsidRDefault="003359EB" w:rsidP="003359EB">
      <w:pPr>
        <w:spacing w:line="360" w:lineRule="auto"/>
        <w:rPr>
          <w:rFonts w:ascii="宋体"/>
          <w:b/>
          <w:sz w:val="28"/>
          <w:szCs w:val="28"/>
        </w:rPr>
      </w:pPr>
      <w:r w:rsidRPr="003359EB">
        <w:rPr>
          <w:rFonts w:ascii="宋体" w:hAnsi="宋体"/>
          <w:b/>
          <w:sz w:val="28"/>
          <w:szCs w:val="28"/>
        </w:rPr>
        <w:t>4.</w:t>
      </w:r>
      <w:r w:rsidRPr="003359EB">
        <w:rPr>
          <w:rFonts w:ascii="宋体" w:hAnsi="宋体" w:hint="eastAsia"/>
          <w:b/>
          <w:sz w:val="28"/>
          <w:szCs w:val="28"/>
        </w:rPr>
        <w:t>货币供应量相对稳定</w:t>
      </w:r>
      <w:r w:rsidR="00356C7D">
        <w:rPr>
          <w:rFonts w:ascii="宋体" w:hAnsi="宋体" w:hint="eastAsia"/>
          <w:b/>
          <w:sz w:val="28"/>
          <w:szCs w:val="28"/>
        </w:rPr>
        <w:t xml:space="preserve"> 贷款余额快速增长</w:t>
      </w:r>
    </w:p>
    <w:p w:rsidR="003359EB" w:rsidRPr="003359EB" w:rsidRDefault="003359EB" w:rsidP="003359EB">
      <w:pPr>
        <w:ind w:firstLineChars="200" w:firstLine="560"/>
        <w:rPr>
          <w:rFonts w:ascii="宋体" w:hAnsi="宋体"/>
          <w:sz w:val="28"/>
          <w:szCs w:val="28"/>
        </w:rPr>
      </w:pPr>
    </w:p>
    <w:p w:rsidR="003359EB" w:rsidRPr="003359EB" w:rsidRDefault="003359EB" w:rsidP="003359EB">
      <w:pPr>
        <w:ind w:firstLineChars="200" w:firstLine="560"/>
        <w:rPr>
          <w:rFonts w:ascii="宋体" w:hAnsi="宋体"/>
          <w:sz w:val="28"/>
          <w:szCs w:val="28"/>
        </w:rPr>
      </w:pPr>
      <w:r w:rsidRPr="003359EB">
        <w:rPr>
          <w:rFonts w:ascii="宋体" w:hAnsi="宋体" w:hint="eastAsia"/>
          <w:sz w:val="28"/>
          <w:szCs w:val="28"/>
        </w:rPr>
        <w:t>6月末，广义货币(M2)余额177.02</w:t>
      </w:r>
      <w:proofErr w:type="gramStart"/>
      <w:r w:rsidRPr="003359EB">
        <w:rPr>
          <w:rFonts w:ascii="宋体" w:hAnsi="宋体" w:hint="eastAsia"/>
          <w:sz w:val="28"/>
          <w:szCs w:val="28"/>
        </w:rPr>
        <w:t>万亿</w:t>
      </w:r>
      <w:proofErr w:type="gramEnd"/>
      <w:r w:rsidRPr="003359EB">
        <w:rPr>
          <w:rFonts w:ascii="宋体" w:hAnsi="宋体" w:hint="eastAsia"/>
          <w:sz w:val="28"/>
          <w:szCs w:val="28"/>
        </w:rPr>
        <w:t>元,同比增长8%，增速分别比上月末和上年同期低0.3个和1.1个百分点；狭义货币(M1)余额54.39</w:t>
      </w:r>
      <w:proofErr w:type="gramStart"/>
      <w:r w:rsidRPr="003359EB">
        <w:rPr>
          <w:rFonts w:ascii="宋体" w:hAnsi="宋体" w:hint="eastAsia"/>
          <w:sz w:val="28"/>
          <w:szCs w:val="28"/>
        </w:rPr>
        <w:t>万亿</w:t>
      </w:r>
      <w:proofErr w:type="gramEnd"/>
      <w:r w:rsidRPr="003359EB">
        <w:rPr>
          <w:rFonts w:ascii="宋体" w:hAnsi="宋体" w:hint="eastAsia"/>
          <w:sz w:val="28"/>
          <w:szCs w:val="28"/>
        </w:rPr>
        <w:t>元,同比增长6.6%，增速比上月末高0.6个百分点，比上年同期低8.4个百分点；流通中货币(M0)余额6.96</w:t>
      </w:r>
      <w:proofErr w:type="gramStart"/>
      <w:r w:rsidRPr="003359EB">
        <w:rPr>
          <w:rFonts w:ascii="宋体" w:hAnsi="宋体" w:hint="eastAsia"/>
          <w:sz w:val="28"/>
          <w:szCs w:val="28"/>
        </w:rPr>
        <w:t>万亿</w:t>
      </w:r>
      <w:proofErr w:type="gramEnd"/>
      <w:r w:rsidRPr="003359EB">
        <w:rPr>
          <w:rFonts w:ascii="宋体" w:hAnsi="宋体" w:hint="eastAsia"/>
          <w:sz w:val="28"/>
          <w:szCs w:val="28"/>
        </w:rPr>
        <w:t>元，同比增长3.9%。上半年净回笼现金1056亿元。</w:t>
      </w:r>
    </w:p>
    <w:p w:rsidR="003359EB" w:rsidRPr="003359EB" w:rsidRDefault="003359EB" w:rsidP="003359EB">
      <w:pPr>
        <w:ind w:firstLineChars="200" w:firstLine="560"/>
        <w:rPr>
          <w:rFonts w:ascii="宋体" w:hAnsi="宋体"/>
          <w:sz w:val="28"/>
          <w:szCs w:val="28"/>
        </w:rPr>
      </w:pPr>
      <w:r w:rsidRPr="003359EB">
        <w:rPr>
          <w:rFonts w:ascii="宋体" w:hAnsi="宋体" w:hint="eastAsia"/>
          <w:sz w:val="28"/>
          <w:szCs w:val="28"/>
        </w:rPr>
        <w:t>6月末，本外币贷款余额134.81</w:t>
      </w:r>
      <w:proofErr w:type="gramStart"/>
      <w:r w:rsidRPr="003359EB">
        <w:rPr>
          <w:rFonts w:ascii="宋体" w:hAnsi="宋体" w:hint="eastAsia"/>
          <w:sz w:val="28"/>
          <w:szCs w:val="28"/>
        </w:rPr>
        <w:t>万亿</w:t>
      </w:r>
      <w:proofErr w:type="gramEnd"/>
      <w:r w:rsidRPr="003359EB">
        <w:rPr>
          <w:rFonts w:ascii="宋体" w:hAnsi="宋体" w:hint="eastAsia"/>
          <w:sz w:val="28"/>
          <w:szCs w:val="28"/>
        </w:rPr>
        <w:t>元，同比增长12.1%。月末人民币贷款余额129.15</w:t>
      </w:r>
      <w:proofErr w:type="gramStart"/>
      <w:r w:rsidRPr="003359EB">
        <w:rPr>
          <w:rFonts w:ascii="宋体" w:hAnsi="宋体" w:hint="eastAsia"/>
          <w:sz w:val="28"/>
          <w:szCs w:val="28"/>
        </w:rPr>
        <w:t>万亿</w:t>
      </w:r>
      <w:proofErr w:type="gramEnd"/>
      <w:r w:rsidRPr="003359EB">
        <w:rPr>
          <w:rFonts w:ascii="宋体" w:hAnsi="宋体" w:hint="eastAsia"/>
          <w:sz w:val="28"/>
          <w:szCs w:val="28"/>
        </w:rPr>
        <w:t>元，同比增长12.7%，增速比上月末高0.1个百分点，比上年同期低0.2个百分点。6月末，外币贷款余额8549亿美元，同比增长2.7%。上半年外币贷款增加170亿美元，同比少增299亿美元。</w:t>
      </w:r>
    </w:p>
    <w:p w:rsidR="003359EB" w:rsidRPr="003359EB" w:rsidRDefault="003359EB" w:rsidP="003359EB">
      <w:pPr>
        <w:ind w:firstLineChars="200" w:firstLine="560"/>
        <w:rPr>
          <w:rFonts w:ascii="宋体" w:hAnsi="宋体"/>
          <w:sz w:val="28"/>
          <w:szCs w:val="28"/>
        </w:rPr>
      </w:pPr>
      <w:r w:rsidRPr="003359EB">
        <w:rPr>
          <w:rFonts w:ascii="宋体" w:hAnsi="宋体" w:hint="eastAsia"/>
          <w:sz w:val="28"/>
          <w:szCs w:val="28"/>
        </w:rPr>
        <w:t>6月末，本外币存款余额178.34</w:t>
      </w:r>
      <w:proofErr w:type="gramStart"/>
      <w:r w:rsidRPr="003359EB">
        <w:rPr>
          <w:rFonts w:ascii="宋体" w:hAnsi="宋体" w:hint="eastAsia"/>
          <w:sz w:val="28"/>
          <w:szCs w:val="28"/>
        </w:rPr>
        <w:t>万亿</w:t>
      </w:r>
      <w:proofErr w:type="gramEnd"/>
      <w:r w:rsidRPr="003359EB">
        <w:rPr>
          <w:rFonts w:ascii="宋体" w:hAnsi="宋体" w:hint="eastAsia"/>
          <w:sz w:val="28"/>
          <w:szCs w:val="28"/>
        </w:rPr>
        <w:t>元，同比增长8.1%。月末人民币存款余额173.12</w:t>
      </w:r>
      <w:proofErr w:type="gramStart"/>
      <w:r w:rsidRPr="003359EB">
        <w:rPr>
          <w:rFonts w:ascii="宋体" w:hAnsi="宋体" w:hint="eastAsia"/>
          <w:sz w:val="28"/>
          <w:szCs w:val="28"/>
        </w:rPr>
        <w:t>万亿</w:t>
      </w:r>
      <w:proofErr w:type="gramEnd"/>
      <w:r w:rsidRPr="003359EB">
        <w:rPr>
          <w:rFonts w:ascii="宋体" w:hAnsi="宋体" w:hint="eastAsia"/>
          <w:sz w:val="28"/>
          <w:szCs w:val="28"/>
        </w:rPr>
        <w:t>元，同比增长8.4%，增速分别比上月末和上年同期低0.5个和0.8个百分点。6月末，外币存款余额7892亿美元，同比下降0.5%。上半年外币存款减少18亿美元，同比多减819亿美元。</w:t>
      </w:r>
    </w:p>
    <w:p w:rsidR="003359EB" w:rsidRPr="003359EB" w:rsidRDefault="003359EB" w:rsidP="003359EB">
      <w:pPr>
        <w:ind w:firstLineChars="200" w:firstLine="560"/>
        <w:rPr>
          <w:rFonts w:ascii="宋体" w:hAnsi="宋体"/>
          <w:sz w:val="28"/>
          <w:szCs w:val="28"/>
        </w:rPr>
      </w:pPr>
    </w:p>
    <w:p w:rsidR="003359EB" w:rsidRPr="003359EB" w:rsidRDefault="003359EB" w:rsidP="003359EB">
      <w:pPr>
        <w:spacing w:line="360" w:lineRule="auto"/>
        <w:rPr>
          <w:rFonts w:ascii="宋体"/>
          <w:b/>
          <w:sz w:val="28"/>
          <w:szCs w:val="28"/>
        </w:rPr>
      </w:pPr>
      <w:r w:rsidRPr="003359EB">
        <w:rPr>
          <w:rFonts w:ascii="宋体" w:hAnsi="宋体"/>
          <w:b/>
          <w:sz w:val="28"/>
          <w:szCs w:val="28"/>
        </w:rPr>
        <w:t>5.</w:t>
      </w:r>
      <w:r w:rsidR="00356C7D">
        <w:rPr>
          <w:rFonts w:ascii="宋体" w:hAnsi="宋体" w:hint="eastAsia"/>
          <w:b/>
          <w:sz w:val="28"/>
          <w:szCs w:val="28"/>
        </w:rPr>
        <w:t>货币市场</w:t>
      </w:r>
      <w:r w:rsidRPr="003359EB">
        <w:rPr>
          <w:rFonts w:ascii="宋体" w:hAnsi="宋体" w:hint="eastAsia"/>
          <w:b/>
          <w:sz w:val="28"/>
          <w:szCs w:val="28"/>
        </w:rPr>
        <w:t>成交量攀升</w:t>
      </w:r>
      <w:r w:rsidR="00356C7D">
        <w:rPr>
          <w:rFonts w:ascii="宋体" w:hAnsi="宋体" w:hint="eastAsia"/>
          <w:b/>
          <w:sz w:val="28"/>
          <w:szCs w:val="28"/>
        </w:rPr>
        <w:t xml:space="preserve"> 市场利率</w:t>
      </w:r>
      <w:r w:rsidR="0067566B">
        <w:rPr>
          <w:rFonts w:ascii="宋体" w:hAnsi="宋体" w:hint="eastAsia"/>
          <w:b/>
          <w:sz w:val="28"/>
          <w:szCs w:val="28"/>
        </w:rPr>
        <w:t>月环比微升</w:t>
      </w:r>
    </w:p>
    <w:p w:rsidR="003359EB" w:rsidRPr="003359EB" w:rsidRDefault="003359EB" w:rsidP="003359EB">
      <w:pPr>
        <w:ind w:firstLineChars="200" w:firstLine="560"/>
        <w:rPr>
          <w:rFonts w:ascii="宋体" w:hAnsi="宋体"/>
          <w:sz w:val="28"/>
          <w:szCs w:val="28"/>
        </w:rPr>
      </w:pPr>
    </w:p>
    <w:p w:rsidR="003359EB" w:rsidRPr="003359EB" w:rsidRDefault="003359EB" w:rsidP="003359EB">
      <w:pPr>
        <w:ind w:firstLineChars="200" w:firstLine="560"/>
        <w:rPr>
          <w:rFonts w:ascii="宋体" w:hAnsi="宋体"/>
          <w:sz w:val="28"/>
          <w:szCs w:val="28"/>
        </w:rPr>
      </w:pPr>
      <w:r w:rsidRPr="003359EB">
        <w:rPr>
          <w:rFonts w:ascii="宋体" w:hAnsi="宋体" w:hint="eastAsia"/>
          <w:sz w:val="28"/>
          <w:szCs w:val="28"/>
        </w:rPr>
        <w:t>上半年,银行间人民币市场以拆借、现券和回购方式合计成交445.32</w:t>
      </w:r>
      <w:proofErr w:type="gramStart"/>
      <w:r w:rsidRPr="003359EB">
        <w:rPr>
          <w:rFonts w:ascii="宋体" w:hAnsi="宋体" w:hint="eastAsia"/>
          <w:sz w:val="28"/>
          <w:szCs w:val="28"/>
        </w:rPr>
        <w:t>万亿</w:t>
      </w:r>
      <w:proofErr w:type="gramEnd"/>
      <w:r w:rsidRPr="003359EB">
        <w:rPr>
          <w:rFonts w:ascii="宋体" w:hAnsi="宋体" w:hint="eastAsia"/>
          <w:sz w:val="28"/>
          <w:szCs w:val="28"/>
        </w:rPr>
        <w:t>元，日均成交3.62</w:t>
      </w:r>
      <w:proofErr w:type="gramStart"/>
      <w:r w:rsidRPr="003359EB">
        <w:rPr>
          <w:rFonts w:ascii="宋体" w:hAnsi="宋体" w:hint="eastAsia"/>
          <w:sz w:val="28"/>
          <w:szCs w:val="28"/>
        </w:rPr>
        <w:t>万亿</w:t>
      </w:r>
      <w:proofErr w:type="gramEnd"/>
      <w:r w:rsidRPr="003359EB">
        <w:rPr>
          <w:rFonts w:ascii="宋体" w:hAnsi="宋体" w:hint="eastAsia"/>
          <w:sz w:val="28"/>
          <w:szCs w:val="28"/>
        </w:rPr>
        <w:t>元，日均成交比上年同期增长24%。其中，同业拆借日均成交同比增长56.1%，现券日均成交同比增长27.6%，质押式回购日均成交同比增长21%。</w:t>
      </w:r>
    </w:p>
    <w:p w:rsidR="003359EB" w:rsidRPr="003359EB" w:rsidRDefault="003359EB" w:rsidP="003359EB">
      <w:pPr>
        <w:ind w:firstLineChars="200" w:firstLine="560"/>
        <w:rPr>
          <w:rFonts w:ascii="宋体" w:hAnsi="宋体"/>
          <w:sz w:val="28"/>
          <w:szCs w:val="28"/>
        </w:rPr>
      </w:pPr>
      <w:r w:rsidRPr="003359EB">
        <w:rPr>
          <w:rFonts w:ascii="宋体" w:hAnsi="宋体" w:hint="eastAsia"/>
          <w:sz w:val="28"/>
          <w:szCs w:val="28"/>
        </w:rPr>
        <w:t>6月份同业拆借加权平均利率为2.73%，比上月高0.01个百分点，比上年同期低0.21个百分点；质押式回购加权平均利率为2.89%，比上月高0.07个百分点，比上年同期低0.14个百分点。</w:t>
      </w:r>
    </w:p>
    <w:p w:rsidR="003359EB" w:rsidRPr="003359EB" w:rsidRDefault="003359EB" w:rsidP="003359EB">
      <w:pPr>
        <w:ind w:firstLineChars="200" w:firstLine="560"/>
        <w:rPr>
          <w:rFonts w:ascii="宋体" w:hAnsi="宋体"/>
          <w:sz w:val="28"/>
          <w:szCs w:val="28"/>
        </w:rPr>
      </w:pPr>
    </w:p>
    <w:p w:rsidR="003359EB" w:rsidRPr="003359EB" w:rsidRDefault="003359EB" w:rsidP="003359EB">
      <w:pPr>
        <w:spacing w:line="360" w:lineRule="auto"/>
        <w:rPr>
          <w:rFonts w:ascii="宋体" w:hAnsi="宋体"/>
          <w:b/>
          <w:sz w:val="28"/>
          <w:szCs w:val="28"/>
        </w:rPr>
      </w:pPr>
      <w:r w:rsidRPr="003359EB">
        <w:rPr>
          <w:rFonts w:ascii="宋体" w:hAnsi="宋体" w:hint="eastAsia"/>
          <w:b/>
          <w:sz w:val="28"/>
          <w:szCs w:val="28"/>
        </w:rPr>
        <w:t>6.</w:t>
      </w:r>
      <w:r w:rsidR="0067566B">
        <w:rPr>
          <w:rFonts w:ascii="宋体" w:hAnsi="宋体" w:hint="eastAsia"/>
          <w:b/>
          <w:sz w:val="28"/>
          <w:szCs w:val="28"/>
        </w:rPr>
        <w:t>上证指数跌破三千点 下半年趋势未可乐观</w:t>
      </w:r>
    </w:p>
    <w:p w:rsidR="003359EB" w:rsidRPr="003359EB" w:rsidRDefault="003359EB" w:rsidP="003359EB">
      <w:pPr>
        <w:spacing w:line="360" w:lineRule="auto"/>
        <w:ind w:firstLineChars="200" w:firstLine="560"/>
        <w:rPr>
          <w:rFonts w:ascii="宋体" w:hAnsi="宋体"/>
          <w:sz w:val="28"/>
          <w:szCs w:val="28"/>
        </w:rPr>
      </w:pPr>
      <w:r w:rsidRPr="003359EB">
        <w:rPr>
          <w:rFonts w:ascii="宋体" w:hAnsi="宋体" w:hint="eastAsia"/>
          <w:sz w:val="28"/>
          <w:szCs w:val="28"/>
        </w:rPr>
        <w:t>上半年A股整体呈下跌走势。上证指数由1月底的3</w:t>
      </w:r>
      <w:r w:rsidRPr="003359EB">
        <w:rPr>
          <w:rFonts w:ascii="宋体" w:hAnsi="宋体"/>
          <w:sz w:val="28"/>
          <w:szCs w:val="28"/>
        </w:rPr>
        <w:t>587</w:t>
      </w:r>
      <w:r w:rsidRPr="003359EB">
        <w:rPr>
          <w:rFonts w:ascii="宋体" w:hAnsi="宋体" w:hint="eastAsia"/>
          <w:sz w:val="28"/>
          <w:szCs w:val="28"/>
        </w:rPr>
        <w:t>点一路下跌至7月初的2</w:t>
      </w:r>
      <w:r w:rsidRPr="003359EB">
        <w:rPr>
          <w:rFonts w:ascii="宋体" w:hAnsi="宋体"/>
          <w:sz w:val="28"/>
          <w:szCs w:val="28"/>
        </w:rPr>
        <w:t>691</w:t>
      </w:r>
      <w:r w:rsidRPr="003359EB">
        <w:rPr>
          <w:rFonts w:ascii="宋体" w:hAnsi="宋体" w:hint="eastAsia"/>
          <w:sz w:val="28"/>
          <w:szCs w:val="28"/>
        </w:rPr>
        <w:t>点，跌幅达到2</w:t>
      </w:r>
      <w:r w:rsidRPr="003359EB">
        <w:rPr>
          <w:rFonts w:ascii="宋体" w:hAnsi="宋体"/>
          <w:sz w:val="28"/>
          <w:szCs w:val="28"/>
        </w:rPr>
        <w:t>5%</w:t>
      </w:r>
      <w:r w:rsidRPr="003359EB">
        <w:rPr>
          <w:rFonts w:ascii="宋体" w:hAnsi="宋体" w:hint="eastAsia"/>
          <w:sz w:val="28"/>
          <w:szCs w:val="28"/>
        </w:rPr>
        <w:t>。从基本面看，A股面临的国内外宏观形势及资金面都不好，内部是去杠杆进行攻坚阶段，资金链收缩。上半年有超过2</w:t>
      </w:r>
      <w:r w:rsidRPr="003359EB">
        <w:rPr>
          <w:rFonts w:ascii="宋体" w:hAnsi="宋体"/>
          <w:sz w:val="28"/>
          <w:szCs w:val="28"/>
        </w:rPr>
        <w:t>00</w:t>
      </w:r>
      <w:r w:rsidRPr="003359EB">
        <w:rPr>
          <w:rFonts w:ascii="宋体" w:hAnsi="宋体" w:hint="eastAsia"/>
          <w:sz w:val="28"/>
          <w:szCs w:val="28"/>
        </w:rPr>
        <w:t>家P</w:t>
      </w:r>
      <w:r w:rsidRPr="003359EB">
        <w:rPr>
          <w:rFonts w:ascii="宋体" w:hAnsi="宋体"/>
          <w:sz w:val="28"/>
          <w:szCs w:val="28"/>
        </w:rPr>
        <w:t>2</w:t>
      </w:r>
      <w:r w:rsidRPr="003359EB">
        <w:rPr>
          <w:rFonts w:ascii="宋体" w:hAnsi="宋体" w:hint="eastAsia"/>
          <w:sz w:val="28"/>
          <w:szCs w:val="28"/>
        </w:rPr>
        <w:t>P平台“爆雷”，不断有地方融资平台打破刚性兑付，大量中小企业被质押股票被强制平仓。外部是中美贸易战和人民币大幅贬值。从技术面看，上证指数跌破</w:t>
      </w:r>
      <w:proofErr w:type="gramStart"/>
      <w:r w:rsidRPr="003359EB">
        <w:rPr>
          <w:rFonts w:ascii="宋体" w:hAnsi="宋体" w:hint="eastAsia"/>
          <w:sz w:val="28"/>
          <w:szCs w:val="28"/>
        </w:rPr>
        <w:t>6</w:t>
      </w:r>
      <w:r w:rsidRPr="003359EB">
        <w:rPr>
          <w:rFonts w:ascii="宋体" w:hAnsi="宋体"/>
          <w:sz w:val="28"/>
          <w:szCs w:val="28"/>
        </w:rPr>
        <w:t>0</w:t>
      </w:r>
      <w:proofErr w:type="gramEnd"/>
      <w:r w:rsidRPr="003359EB">
        <w:rPr>
          <w:rFonts w:ascii="宋体" w:hAnsi="宋体" w:hint="eastAsia"/>
          <w:sz w:val="28"/>
          <w:szCs w:val="28"/>
        </w:rPr>
        <w:t>月线，市盈率已降至大约1</w:t>
      </w:r>
      <w:r w:rsidRPr="003359EB">
        <w:rPr>
          <w:rFonts w:ascii="宋体" w:hAnsi="宋体"/>
          <w:sz w:val="28"/>
          <w:szCs w:val="28"/>
        </w:rPr>
        <w:t>4</w:t>
      </w:r>
      <w:r w:rsidRPr="003359EB">
        <w:rPr>
          <w:rFonts w:ascii="宋体" w:hAnsi="宋体" w:hint="eastAsia"/>
          <w:sz w:val="28"/>
          <w:szCs w:val="28"/>
        </w:rPr>
        <w:t>倍，已经接近历史最底部区域。但是考虑到紧缩的金融环境以及美国股市面临巨大的资产泡沫风险，下半年A股走势仍难乐观。</w:t>
      </w:r>
    </w:p>
    <w:p w:rsidR="003359EB" w:rsidRPr="003359EB" w:rsidRDefault="003359EB" w:rsidP="003359EB">
      <w:pPr>
        <w:spacing w:line="360" w:lineRule="auto"/>
        <w:ind w:firstLineChars="200" w:firstLine="560"/>
        <w:rPr>
          <w:rFonts w:ascii="宋体" w:hAnsi="宋体"/>
          <w:sz w:val="28"/>
          <w:szCs w:val="28"/>
        </w:rPr>
      </w:pPr>
    </w:p>
    <w:p w:rsidR="003359EB" w:rsidRPr="003359EB" w:rsidRDefault="003359EB" w:rsidP="003359EB">
      <w:pPr>
        <w:rPr>
          <w:rFonts w:ascii="宋体" w:hAnsi="宋体"/>
          <w:sz w:val="28"/>
          <w:szCs w:val="28"/>
        </w:rPr>
      </w:pPr>
      <w:r w:rsidRPr="003359EB">
        <w:rPr>
          <w:noProof/>
          <w:sz w:val="28"/>
          <w:szCs w:val="28"/>
        </w:rPr>
        <w:lastRenderedPageBreak/>
        <w:drawing>
          <wp:inline distT="0" distB="0" distL="0" distR="0">
            <wp:extent cx="5114925" cy="21240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114925" cy="2124075"/>
                    </a:xfrm>
                    <a:prstGeom prst="rect">
                      <a:avLst/>
                    </a:prstGeom>
                  </pic:spPr>
                </pic:pic>
              </a:graphicData>
            </a:graphic>
          </wp:inline>
        </w:drawing>
      </w:r>
    </w:p>
    <w:p w:rsidR="003359EB" w:rsidRPr="003359EB" w:rsidRDefault="003359EB">
      <w:pPr>
        <w:rPr>
          <w:sz w:val="28"/>
          <w:szCs w:val="28"/>
        </w:rPr>
      </w:pPr>
    </w:p>
    <w:p w:rsidR="008D7822" w:rsidRPr="0042258A" w:rsidRDefault="008D7822" w:rsidP="0042258A">
      <w:pPr>
        <w:jc w:val="center"/>
        <w:rPr>
          <w:b/>
          <w:sz w:val="28"/>
          <w:szCs w:val="28"/>
        </w:rPr>
      </w:pPr>
      <w:r w:rsidRPr="0042258A">
        <w:rPr>
          <w:rFonts w:hint="eastAsia"/>
          <w:b/>
          <w:sz w:val="28"/>
          <w:szCs w:val="28"/>
        </w:rPr>
        <w:t>三，政策效应</w:t>
      </w:r>
    </w:p>
    <w:p w:rsidR="008D7822" w:rsidRDefault="008D7822">
      <w:pPr>
        <w:rPr>
          <w:sz w:val="28"/>
          <w:szCs w:val="28"/>
        </w:rPr>
      </w:pPr>
    </w:p>
    <w:p w:rsidR="008D7822" w:rsidRPr="008D7822" w:rsidRDefault="008D7822" w:rsidP="008D7822">
      <w:pPr>
        <w:pStyle w:val="a5"/>
        <w:numPr>
          <w:ilvl w:val="0"/>
          <w:numId w:val="1"/>
        </w:numPr>
        <w:ind w:firstLineChars="0"/>
        <w:rPr>
          <w:sz w:val="28"/>
          <w:szCs w:val="28"/>
        </w:rPr>
      </w:pPr>
      <w:r w:rsidRPr="008D7822">
        <w:rPr>
          <w:rFonts w:hint="eastAsia"/>
          <w:sz w:val="28"/>
          <w:szCs w:val="28"/>
        </w:rPr>
        <w:t>宏观总体观察</w:t>
      </w:r>
    </w:p>
    <w:p w:rsidR="008D7822" w:rsidRDefault="008D7822" w:rsidP="008D7822">
      <w:pPr>
        <w:pStyle w:val="a5"/>
        <w:ind w:left="720" w:firstLineChars="0" w:firstLine="0"/>
        <w:rPr>
          <w:sz w:val="28"/>
          <w:szCs w:val="28"/>
        </w:rPr>
      </w:pPr>
    </w:p>
    <w:p w:rsidR="00EE6D6A" w:rsidRDefault="00EE6D6A" w:rsidP="00EE6D6A">
      <w:pPr>
        <w:ind w:firstLineChars="200" w:firstLine="560"/>
        <w:rPr>
          <w:sz w:val="28"/>
          <w:szCs w:val="28"/>
        </w:rPr>
      </w:pPr>
      <w:r w:rsidRPr="00EE6D6A">
        <w:rPr>
          <w:rFonts w:hint="eastAsia"/>
          <w:sz w:val="28"/>
          <w:szCs w:val="28"/>
        </w:rPr>
        <w:t>今年上半年，</w:t>
      </w:r>
      <w:r w:rsidRPr="00EE6D6A">
        <w:rPr>
          <w:rFonts w:hint="eastAsia"/>
          <w:sz w:val="28"/>
          <w:szCs w:val="28"/>
        </w:rPr>
        <w:t>GDP</w:t>
      </w:r>
      <w:r w:rsidRPr="00EE6D6A">
        <w:rPr>
          <w:rFonts w:hint="eastAsia"/>
          <w:sz w:val="28"/>
          <w:szCs w:val="28"/>
        </w:rPr>
        <w:t>增长</w:t>
      </w:r>
      <w:r w:rsidRPr="00EE6D6A">
        <w:rPr>
          <w:rFonts w:hint="eastAsia"/>
          <w:sz w:val="28"/>
          <w:szCs w:val="28"/>
        </w:rPr>
        <w:t>6.8%</w:t>
      </w:r>
      <w:r w:rsidRPr="00EE6D6A">
        <w:rPr>
          <w:rFonts w:hint="eastAsia"/>
          <w:sz w:val="28"/>
          <w:szCs w:val="28"/>
        </w:rPr>
        <w:t>，规模以上工业增加值增长</w:t>
      </w:r>
      <w:r w:rsidRPr="00EE6D6A">
        <w:rPr>
          <w:rFonts w:hint="eastAsia"/>
          <w:sz w:val="28"/>
          <w:szCs w:val="28"/>
        </w:rPr>
        <w:t>6.7%</w:t>
      </w:r>
      <w:r w:rsidRPr="00EE6D6A">
        <w:rPr>
          <w:rFonts w:hint="eastAsia"/>
          <w:sz w:val="28"/>
          <w:szCs w:val="28"/>
        </w:rPr>
        <w:t>，</w:t>
      </w:r>
      <w:r w:rsidRPr="00EE6D6A">
        <w:rPr>
          <w:rFonts w:hint="eastAsia"/>
          <w:sz w:val="28"/>
          <w:szCs w:val="28"/>
        </w:rPr>
        <w:t>CPI</w:t>
      </w:r>
      <w:r w:rsidRPr="00EE6D6A">
        <w:rPr>
          <w:rFonts w:hint="eastAsia"/>
          <w:sz w:val="28"/>
          <w:szCs w:val="28"/>
        </w:rPr>
        <w:t>上涨</w:t>
      </w:r>
      <w:r w:rsidRPr="00EE6D6A">
        <w:rPr>
          <w:rFonts w:hint="eastAsia"/>
          <w:sz w:val="28"/>
          <w:szCs w:val="28"/>
        </w:rPr>
        <w:t>2%</w:t>
      </w:r>
      <w:r w:rsidRPr="00EE6D6A">
        <w:rPr>
          <w:rFonts w:hint="eastAsia"/>
          <w:sz w:val="28"/>
          <w:szCs w:val="28"/>
        </w:rPr>
        <w:t>，</w:t>
      </w:r>
      <w:r w:rsidRPr="00EE6D6A">
        <w:rPr>
          <w:rFonts w:hint="eastAsia"/>
          <w:sz w:val="28"/>
          <w:szCs w:val="28"/>
        </w:rPr>
        <w:t>2</w:t>
      </w:r>
      <w:r w:rsidRPr="00EE6D6A">
        <w:rPr>
          <w:rFonts w:hint="eastAsia"/>
          <w:sz w:val="28"/>
          <w:szCs w:val="28"/>
        </w:rPr>
        <w:t>季度比</w:t>
      </w:r>
      <w:r w:rsidRPr="00EE6D6A">
        <w:rPr>
          <w:rFonts w:hint="eastAsia"/>
          <w:sz w:val="28"/>
          <w:szCs w:val="28"/>
        </w:rPr>
        <w:t>1</w:t>
      </w:r>
      <w:r w:rsidRPr="00EE6D6A">
        <w:rPr>
          <w:rFonts w:hint="eastAsia"/>
          <w:sz w:val="28"/>
          <w:szCs w:val="28"/>
        </w:rPr>
        <w:t>季度</w:t>
      </w:r>
      <w:r w:rsidR="00F53D88">
        <w:rPr>
          <w:rFonts w:hint="eastAsia"/>
          <w:sz w:val="28"/>
          <w:szCs w:val="28"/>
        </w:rPr>
        <w:t>均</w:t>
      </w:r>
      <w:r w:rsidRPr="00EE6D6A">
        <w:rPr>
          <w:rFonts w:hint="eastAsia"/>
          <w:sz w:val="28"/>
          <w:szCs w:val="28"/>
        </w:rPr>
        <w:t>回落了</w:t>
      </w:r>
      <w:r w:rsidRPr="00EE6D6A">
        <w:rPr>
          <w:rFonts w:hint="eastAsia"/>
          <w:sz w:val="28"/>
          <w:szCs w:val="28"/>
        </w:rPr>
        <w:t>0.1</w:t>
      </w:r>
      <w:r w:rsidR="00A8338A">
        <w:rPr>
          <w:rFonts w:hint="eastAsia"/>
          <w:sz w:val="28"/>
          <w:szCs w:val="28"/>
        </w:rPr>
        <w:t>个百分点，保持了稳中趋缓的增长态势。在国内外“异常复杂严峻”的环境下，能够取得这样的增长实绩，确属不易。</w:t>
      </w:r>
    </w:p>
    <w:p w:rsidR="00F53D88" w:rsidRDefault="00710459" w:rsidP="00EE6D6A">
      <w:pPr>
        <w:ind w:firstLineChars="200" w:firstLine="560"/>
        <w:rPr>
          <w:sz w:val="28"/>
          <w:szCs w:val="28"/>
        </w:rPr>
      </w:pPr>
      <w:r>
        <w:rPr>
          <w:rFonts w:hint="eastAsia"/>
          <w:sz w:val="28"/>
          <w:szCs w:val="28"/>
        </w:rPr>
        <w:t>在上半年</w:t>
      </w:r>
      <w:r w:rsidR="00C44A93">
        <w:rPr>
          <w:rFonts w:hint="eastAsia"/>
          <w:sz w:val="28"/>
          <w:szCs w:val="28"/>
        </w:rPr>
        <w:t>经济增长</w:t>
      </w:r>
      <w:r>
        <w:rPr>
          <w:rFonts w:hint="eastAsia"/>
          <w:sz w:val="28"/>
          <w:szCs w:val="28"/>
        </w:rPr>
        <w:t>的因素</w:t>
      </w:r>
      <w:r w:rsidR="00C44A93">
        <w:rPr>
          <w:rFonts w:hint="eastAsia"/>
          <w:sz w:val="28"/>
          <w:szCs w:val="28"/>
        </w:rPr>
        <w:t>中，社会消费品零售额增长</w:t>
      </w:r>
      <w:r w:rsidR="00C44A93">
        <w:rPr>
          <w:rFonts w:hint="eastAsia"/>
          <w:sz w:val="28"/>
          <w:szCs w:val="28"/>
        </w:rPr>
        <w:t>9.4%</w:t>
      </w:r>
      <w:r w:rsidR="00C44A93">
        <w:rPr>
          <w:rFonts w:hint="eastAsia"/>
          <w:sz w:val="28"/>
          <w:szCs w:val="28"/>
        </w:rPr>
        <w:t>，比</w:t>
      </w:r>
      <w:r w:rsidR="00C44A93">
        <w:rPr>
          <w:rFonts w:hint="eastAsia"/>
          <w:sz w:val="28"/>
          <w:szCs w:val="28"/>
        </w:rPr>
        <w:t>1</w:t>
      </w:r>
      <w:r w:rsidR="00C44A93">
        <w:rPr>
          <w:rFonts w:hint="eastAsia"/>
          <w:sz w:val="28"/>
          <w:szCs w:val="28"/>
        </w:rPr>
        <w:t>季度增长</w:t>
      </w:r>
      <w:r w:rsidR="002647C5">
        <w:rPr>
          <w:rFonts w:hint="eastAsia"/>
          <w:sz w:val="28"/>
          <w:szCs w:val="28"/>
        </w:rPr>
        <w:t>（</w:t>
      </w:r>
      <w:r w:rsidR="00C44A93">
        <w:rPr>
          <w:rFonts w:hint="eastAsia"/>
          <w:sz w:val="28"/>
          <w:szCs w:val="28"/>
        </w:rPr>
        <w:t>9.8%</w:t>
      </w:r>
      <w:r w:rsidR="002647C5">
        <w:rPr>
          <w:rFonts w:hint="eastAsia"/>
          <w:sz w:val="28"/>
          <w:szCs w:val="28"/>
        </w:rPr>
        <w:t>）</w:t>
      </w:r>
      <w:r w:rsidR="00C44A93">
        <w:rPr>
          <w:rFonts w:hint="eastAsia"/>
          <w:sz w:val="28"/>
          <w:szCs w:val="28"/>
        </w:rPr>
        <w:t>有所回落，但对经济增长的贡献率达</w:t>
      </w:r>
      <w:r w:rsidR="00C44A93">
        <w:rPr>
          <w:rFonts w:hint="eastAsia"/>
          <w:sz w:val="28"/>
          <w:szCs w:val="28"/>
        </w:rPr>
        <w:t>78.5%</w:t>
      </w:r>
      <w:r w:rsidR="00C44A93">
        <w:rPr>
          <w:rFonts w:hint="eastAsia"/>
          <w:sz w:val="28"/>
          <w:szCs w:val="28"/>
        </w:rPr>
        <w:t>，比</w:t>
      </w:r>
      <w:r w:rsidR="00C44A93">
        <w:rPr>
          <w:rFonts w:hint="eastAsia"/>
          <w:sz w:val="28"/>
          <w:szCs w:val="28"/>
        </w:rPr>
        <w:t>1</w:t>
      </w:r>
      <w:r w:rsidR="00C44A93">
        <w:rPr>
          <w:rFonts w:hint="eastAsia"/>
          <w:sz w:val="28"/>
          <w:szCs w:val="28"/>
        </w:rPr>
        <w:t>季度提高</w:t>
      </w:r>
      <w:r w:rsidR="00C44A93">
        <w:rPr>
          <w:rFonts w:hint="eastAsia"/>
          <w:sz w:val="28"/>
          <w:szCs w:val="28"/>
        </w:rPr>
        <w:t>0.7</w:t>
      </w:r>
      <w:r w:rsidR="00C44A93">
        <w:rPr>
          <w:rFonts w:hint="eastAsia"/>
          <w:sz w:val="28"/>
          <w:szCs w:val="28"/>
        </w:rPr>
        <w:t>个百分点</w:t>
      </w:r>
      <w:r w:rsidR="005A6EAA">
        <w:rPr>
          <w:rFonts w:hint="eastAsia"/>
          <w:sz w:val="28"/>
          <w:szCs w:val="28"/>
        </w:rPr>
        <w:t>，比上年同期提高</w:t>
      </w:r>
      <w:r w:rsidR="005A6EAA">
        <w:rPr>
          <w:rFonts w:hint="eastAsia"/>
          <w:sz w:val="28"/>
          <w:szCs w:val="28"/>
        </w:rPr>
        <w:t>14.2</w:t>
      </w:r>
      <w:r w:rsidR="005A6EAA">
        <w:rPr>
          <w:rFonts w:hint="eastAsia"/>
          <w:sz w:val="28"/>
          <w:szCs w:val="28"/>
        </w:rPr>
        <w:t>个百分点，一方面反映了稳定消费的基础作用，另一方面对于消费的低迷也值得关注</w:t>
      </w:r>
      <w:r w:rsidR="00C44A93">
        <w:rPr>
          <w:rFonts w:hint="eastAsia"/>
          <w:sz w:val="28"/>
          <w:szCs w:val="28"/>
        </w:rPr>
        <w:t>。</w:t>
      </w:r>
      <w:r w:rsidR="005A6EAA">
        <w:rPr>
          <w:rFonts w:hint="eastAsia"/>
          <w:sz w:val="28"/>
          <w:szCs w:val="28"/>
        </w:rPr>
        <w:t>服务业增长</w:t>
      </w:r>
      <w:r w:rsidR="005A6EAA">
        <w:rPr>
          <w:rFonts w:hint="eastAsia"/>
          <w:sz w:val="28"/>
          <w:szCs w:val="28"/>
        </w:rPr>
        <w:t>8.0%</w:t>
      </w:r>
      <w:r w:rsidR="005A6EAA">
        <w:rPr>
          <w:rFonts w:hint="eastAsia"/>
          <w:sz w:val="28"/>
          <w:szCs w:val="28"/>
        </w:rPr>
        <w:t>，比</w:t>
      </w:r>
      <w:r w:rsidR="005A6EAA">
        <w:rPr>
          <w:rFonts w:hint="eastAsia"/>
          <w:sz w:val="28"/>
          <w:szCs w:val="28"/>
        </w:rPr>
        <w:t>1</w:t>
      </w:r>
      <w:r w:rsidR="005A6EAA">
        <w:rPr>
          <w:rFonts w:hint="eastAsia"/>
          <w:sz w:val="28"/>
          <w:szCs w:val="28"/>
        </w:rPr>
        <w:t>季度增长</w:t>
      </w:r>
      <w:r w:rsidR="002647C5">
        <w:rPr>
          <w:rFonts w:hint="eastAsia"/>
          <w:sz w:val="28"/>
          <w:szCs w:val="28"/>
        </w:rPr>
        <w:t>（</w:t>
      </w:r>
      <w:r w:rsidR="005A6EAA">
        <w:rPr>
          <w:rFonts w:hint="eastAsia"/>
          <w:sz w:val="28"/>
          <w:szCs w:val="28"/>
        </w:rPr>
        <w:t>8.1%</w:t>
      </w:r>
      <w:r w:rsidR="002647C5">
        <w:rPr>
          <w:rFonts w:hint="eastAsia"/>
          <w:sz w:val="28"/>
          <w:szCs w:val="28"/>
        </w:rPr>
        <w:t>）</w:t>
      </w:r>
      <w:r w:rsidR="005A6EAA">
        <w:rPr>
          <w:rFonts w:hint="eastAsia"/>
          <w:sz w:val="28"/>
          <w:szCs w:val="28"/>
        </w:rPr>
        <w:t>也有趋缓，</w:t>
      </w:r>
      <w:r w:rsidR="004A07FB">
        <w:rPr>
          <w:rFonts w:hint="eastAsia"/>
          <w:sz w:val="28"/>
          <w:szCs w:val="28"/>
        </w:rPr>
        <w:t>对经济增长的贡献达</w:t>
      </w:r>
      <w:r w:rsidR="004A07FB">
        <w:rPr>
          <w:rFonts w:hint="eastAsia"/>
          <w:sz w:val="28"/>
          <w:szCs w:val="28"/>
        </w:rPr>
        <w:t>60.5%</w:t>
      </w:r>
      <w:r w:rsidR="004A07FB">
        <w:rPr>
          <w:rFonts w:hint="eastAsia"/>
          <w:sz w:val="28"/>
          <w:szCs w:val="28"/>
        </w:rPr>
        <w:t>，比</w:t>
      </w:r>
      <w:r w:rsidR="004A07FB">
        <w:rPr>
          <w:rFonts w:hint="eastAsia"/>
          <w:sz w:val="28"/>
          <w:szCs w:val="28"/>
        </w:rPr>
        <w:t>1</w:t>
      </w:r>
      <w:r w:rsidR="004A07FB">
        <w:rPr>
          <w:rFonts w:hint="eastAsia"/>
          <w:sz w:val="28"/>
          <w:szCs w:val="28"/>
        </w:rPr>
        <w:t>季度减少</w:t>
      </w:r>
      <w:r w:rsidR="004A07FB">
        <w:rPr>
          <w:rFonts w:hint="eastAsia"/>
          <w:sz w:val="28"/>
          <w:szCs w:val="28"/>
        </w:rPr>
        <w:t>1.1</w:t>
      </w:r>
      <w:r w:rsidR="004A07FB">
        <w:rPr>
          <w:rFonts w:hint="eastAsia"/>
          <w:sz w:val="28"/>
          <w:szCs w:val="28"/>
        </w:rPr>
        <w:t>个百分点，比去</w:t>
      </w:r>
      <w:r w:rsidR="003062FC">
        <w:rPr>
          <w:rFonts w:hint="eastAsia"/>
          <w:sz w:val="28"/>
          <w:szCs w:val="28"/>
        </w:rPr>
        <w:t>年</w:t>
      </w:r>
      <w:r w:rsidR="004A07FB">
        <w:rPr>
          <w:rFonts w:hint="eastAsia"/>
          <w:sz w:val="28"/>
          <w:szCs w:val="28"/>
        </w:rPr>
        <w:t>同期提高</w:t>
      </w:r>
      <w:r w:rsidR="004A07FB">
        <w:rPr>
          <w:rFonts w:hint="eastAsia"/>
          <w:sz w:val="28"/>
          <w:szCs w:val="28"/>
        </w:rPr>
        <w:t>1.4</w:t>
      </w:r>
      <w:r>
        <w:rPr>
          <w:rFonts w:hint="eastAsia"/>
          <w:sz w:val="28"/>
          <w:szCs w:val="28"/>
        </w:rPr>
        <w:t>个百分点，</w:t>
      </w:r>
      <w:r w:rsidR="004A07FB">
        <w:rPr>
          <w:rFonts w:hint="eastAsia"/>
          <w:sz w:val="28"/>
          <w:szCs w:val="28"/>
        </w:rPr>
        <w:t>仍是支撑经济增长的主要力量。</w:t>
      </w:r>
      <w:r w:rsidR="003062FC">
        <w:rPr>
          <w:rFonts w:hint="eastAsia"/>
          <w:sz w:val="28"/>
          <w:szCs w:val="28"/>
        </w:rPr>
        <w:t>不过，服务业的增长结构值得关注。金融业出现了过度发展，且存在着自我循环，没有做到</w:t>
      </w:r>
      <w:r w:rsidR="00A546F0">
        <w:rPr>
          <w:rFonts w:hint="eastAsia"/>
          <w:sz w:val="28"/>
          <w:szCs w:val="28"/>
        </w:rPr>
        <w:t>真正</w:t>
      </w:r>
      <w:r w:rsidR="003062FC">
        <w:rPr>
          <w:rFonts w:hint="eastAsia"/>
          <w:sz w:val="28"/>
          <w:szCs w:val="28"/>
        </w:rPr>
        <w:t>为实</w:t>
      </w:r>
      <w:r w:rsidR="003062FC">
        <w:rPr>
          <w:rFonts w:hint="eastAsia"/>
          <w:sz w:val="28"/>
          <w:szCs w:val="28"/>
        </w:rPr>
        <w:lastRenderedPageBreak/>
        <w:t>体经济服务</w:t>
      </w:r>
      <w:r w:rsidR="00A546F0">
        <w:rPr>
          <w:rFonts w:hint="eastAsia"/>
          <w:sz w:val="28"/>
          <w:szCs w:val="28"/>
        </w:rPr>
        <w:t>，而医疗、教育、养老服务仍然是发展</w:t>
      </w:r>
      <w:r w:rsidR="00651A59">
        <w:rPr>
          <w:rFonts w:hint="eastAsia"/>
          <w:sz w:val="28"/>
          <w:szCs w:val="28"/>
        </w:rPr>
        <w:t>中</w:t>
      </w:r>
      <w:r w:rsidR="00A546F0">
        <w:rPr>
          <w:rFonts w:hint="eastAsia"/>
          <w:sz w:val="28"/>
          <w:szCs w:val="28"/>
        </w:rPr>
        <w:t>的短板，急待扩大供给能力，提升服务水平</w:t>
      </w:r>
      <w:r w:rsidR="00821C33">
        <w:rPr>
          <w:rFonts w:hint="eastAsia"/>
          <w:sz w:val="28"/>
          <w:szCs w:val="28"/>
        </w:rPr>
        <w:t>，一些</w:t>
      </w:r>
      <w:r w:rsidR="00A546F0">
        <w:rPr>
          <w:rFonts w:hint="eastAsia"/>
          <w:sz w:val="28"/>
          <w:szCs w:val="28"/>
        </w:rPr>
        <w:t>传统服务业，如商业零售、旅游观光等受到互联网和新业态的冲击，仍处于艰难的调整和转型过程</w:t>
      </w:r>
      <w:r w:rsidR="00F67D1B">
        <w:rPr>
          <w:rFonts w:hint="eastAsia"/>
          <w:sz w:val="28"/>
          <w:szCs w:val="28"/>
        </w:rPr>
        <w:t>之</w:t>
      </w:r>
      <w:r w:rsidR="00A546F0">
        <w:rPr>
          <w:rFonts w:hint="eastAsia"/>
          <w:sz w:val="28"/>
          <w:szCs w:val="28"/>
        </w:rPr>
        <w:t>中。</w:t>
      </w:r>
    </w:p>
    <w:p w:rsidR="004A07FB" w:rsidRDefault="004A07FB" w:rsidP="00EE6D6A">
      <w:pPr>
        <w:ind w:firstLineChars="200" w:firstLine="560"/>
        <w:rPr>
          <w:sz w:val="28"/>
          <w:szCs w:val="28"/>
        </w:rPr>
      </w:pPr>
      <w:r>
        <w:rPr>
          <w:rFonts w:hint="eastAsia"/>
          <w:sz w:val="28"/>
          <w:szCs w:val="28"/>
        </w:rPr>
        <w:t>与消费的相对稳定相比，固定资产投资</w:t>
      </w:r>
      <w:r w:rsidR="002647C5">
        <w:rPr>
          <w:rFonts w:hint="eastAsia"/>
          <w:sz w:val="28"/>
          <w:szCs w:val="28"/>
        </w:rPr>
        <w:t>的增长持续回落比较明显。上半年增长</w:t>
      </w:r>
      <w:r w:rsidR="002647C5">
        <w:rPr>
          <w:rFonts w:hint="eastAsia"/>
          <w:sz w:val="28"/>
          <w:szCs w:val="28"/>
        </w:rPr>
        <w:t>6%</w:t>
      </w:r>
      <w:r w:rsidR="00821C33">
        <w:rPr>
          <w:rFonts w:hint="eastAsia"/>
          <w:sz w:val="28"/>
          <w:szCs w:val="28"/>
        </w:rPr>
        <w:t>，</w:t>
      </w:r>
      <w:r w:rsidR="002647C5">
        <w:rPr>
          <w:rFonts w:hint="eastAsia"/>
          <w:sz w:val="28"/>
          <w:szCs w:val="28"/>
        </w:rPr>
        <w:t>比</w:t>
      </w:r>
      <w:r w:rsidR="002647C5">
        <w:rPr>
          <w:rFonts w:hint="eastAsia"/>
          <w:sz w:val="28"/>
          <w:szCs w:val="28"/>
        </w:rPr>
        <w:t>1</w:t>
      </w:r>
      <w:r w:rsidR="002647C5">
        <w:rPr>
          <w:rFonts w:hint="eastAsia"/>
          <w:sz w:val="28"/>
          <w:szCs w:val="28"/>
        </w:rPr>
        <w:t>季度增长（</w:t>
      </w:r>
      <w:r w:rsidR="002647C5">
        <w:rPr>
          <w:rFonts w:hint="eastAsia"/>
          <w:sz w:val="28"/>
          <w:szCs w:val="28"/>
        </w:rPr>
        <w:t>7.5%</w:t>
      </w:r>
      <w:r w:rsidR="002647C5">
        <w:rPr>
          <w:rFonts w:hint="eastAsia"/>
          <w:sz w:val="28"/>
          <w:szCs w:val="28"/>
        </w:rPr>
        <w:t>）回落</w:t>
      </w:r>
      <w:r w:rsidR="002647C5">
        <w:rPr>
          <w:rFonts w:hint="eastAsia"/>
          <w:sz w:val="28"/>
          <w:szCs w:val="28"/>
        </w:rPr>
        <w:t>1.5</w:t>
      </w:r>
      <w:r w:rsidR="002647C5">
        <w:rPr>
          <w:rFonts w:hint="eastAsia"/>
          <w:sz w:val="28"/>
          <w:szCs w:val="28"/>
        </w:rPr>
        <w:t>个百分点，比上年同期增长（</w:t>
      </w:r>
      <w:r w:rsidR="002647C5">
        <w:rPr>
          <w:rFonts w:hint="eastAsia"/>
          <w:sz w:val="28"/>
          <w:szCs w:val="28"/>
        </w:rPr>
        <w:t>8.6%</w:t>
      </w:r>
      <w:r w:rsidR="002647C5">
        <w:rPr>
          <w:rFonts w:hint="eastAsia"/>
          <w:sz w:val="28"/>
          <w:szCs w:val="28"/>
        </w:rPr>
        <w:t>）回落</w:t>
      </w:r>
      <w:r w:rsidR="002647C5">
        <w:rPr>
          <w:rFonts w:hint="eastAsia"/>
          <w:sz w:val="28"/>
          <w:szCs w:val="28"/>
        </w:rPr>
        <w:t>2.6</w:t>
      </w:r>
      <w:r w:rsidR="002647C5">
        <w:rPr>
          <w:rFonts w:hint="eastAsia"/>
          <w:sz w:val="28"/>
          <w:szCs w:val="28"/>
        </w:rPr>
        <w:t>个百分点</w:t>
      </w:r>
      <w:r w:rsidR="00821C33">
        <w:rPr>
          <w:rFonts w:hint="eastAsia"/>
          <w:sz w:val="28"/>
          <w:szCs w:val="28"/>
        </w:rPr>
        <w:t>，已经从以往大大高于而变得低于</w:t>
      </w:r>
      <w:r w:rsidR="00821C33">
        <w:rPr>
          <w:rFonts w:hint="eastAsia"/>
          <w:sz w:val="28"/>
          <w:szCs w:val="28"/>
        </w:rPr>
        <w:t>GDP</w:t>
      </w:r>
      <w:r w:rsidR="00821C33">
        <w:rPr>
          <w:rFonts w:hint="eastAsia"/>
          <w:sz w:val="28"/>
          <w:szCs w:val="28"/>
        </w:rPr>
        <w:t>增长</w:t>
      </w:r>
      <w:r w:rsidR="002647C5">
        <w:rPr>
          <w:rFonts w:hint="eastAsia"/>
          <w:sz w:val="28"/>
          <w:szCs w:val="28"/>
        </w:rPr>
        <w:t>。而且，现有增长是在房地产开发投资增长</w:t>
      </w:r>
      <w:r w:rsidR="002647C5">
        <w:rPr>
          <w:rFonts w:hint="eastAsia"/>
          <w:sz w:val="28"/>
          <w:szCs w:val="28"/>
        </w:rPr>
        <w:t>9.7%</w:t>
      </w:r>
      <w:r w:rsidR="002647C5">
        <w:rPr>
          <w:rFonts w:hint="eastAsia"/>
          <w:sz w:val="28"/>
          <w:szCs w:val="28"/>
        </w:rPr>
        <w:t>的情况下达到的。</w:t>
      </w:r>
      <w:r w:rsidR="002665E5">
        <w:rPr>
          <w:rFonts w:hint="eastAsia"/>
          <w:sz w:val="28"/>
          <w:szCs w:val="28"/>
        </w:rPr>
        <w:t>虽然制造业投资增长</w:t>
      </w:r>
      <w:r w:rsidR="002665E5">
        <w:rPr>
          <w:rFonts w:hint="eastAsia"/>
          <w:sz w:val="28"/>
          <w:szCs w:val="28"/>
        </w:rPr>
        <w:t>6.8%</w:t>
      </w:r>
      <w:r w:rsidR="003062FC">
        <w:rPr>
          <w:rFonts w:hint="eastAsia"/>
          <w:sz w:val="28"/>
          <w:szCs w:val="28"/>
        </w:rPr>
        <w:t>，比</w:t>
      </w:r>
      <w:r w:rsidR="003062FC">
        <w:rPr>
          <w:rFonts w:hint="eastAsia"/>
          <w:sz w:val="28"/>
          <w:szCs w:val="28"/>
        </w:rPr>
        <w:t>1</w:t>
      </w:r>
      <w:r w:rsidR="003062FC">
        <w:rPr>
          <w:rFonts w:hint="eastAsia"/>
          <w:sz w:val="28"/>
          <w:szCs w:val="28"/>
        </w:rPr>
        <w:t>季度提高了</w:t>
      </w:r>
      <w:r w:rsidR="003062FC">
        <w:rPr>
          <w:rFonts w:hint="eastAsia"/>
          <w:sz w:val="28"/>
          <w:szCs w:val="28"/>
        </w:rPr>
        <w:t>3</w:t>
      </w:r>
      <w:r w:rsidR="003062FC">
        <w:rPr>
          <w:rFonts w:hint="eastAsia"/>
          <w:sz w:val="28"/>
          <w:szCs w:val="28"/>
        </w:rPr>
        <w:t>个百分点，但仍明显低于房地产开</w:t>
      </w:r>
      <w:r w:rsidR="00710459">
        <w:rPr>
          <w:rFonts w:hint="eastAsia"/>
          <w:sz w:val="28"/>
          <w:szCs w:val="28"/>
        </w:rPr>
        <w:t>发</w:t>
      </w:r>
      <w:r w:rsidR="003062FC">
        <w:rPr>
          <w:rFonts w:hint="eastAsia"/>
          <w:sz w:val="28"/>
          <w:szCs w:val="28"/>
        </w:rPr>
        <w:t>投资的增长。</w:t>
      </w:r>
      <w:r w:rsidR="002647C5">
        <w:rPr>
          <w:rFonts w:hint="eastAsia"/>
          <w:sz w:val="28"/>
          <w:szCs w:val="28"/>
        </w:rPr>
        <w:t>可见，其他方面投资的</w:t>
      </w:r>
      <w:r w:rsidR="0028043E">
        <w:rPr>
          <w:rFonts w:hint="eastAsia"/>
          <w:sz w:val="28"/>
          <w:szCs w:val="28"/>
        </w:rPr>
        <w:t>回落</w:t>
      </w:r>
      <w:r w:rsidR="002647C5">
        <w:rPr>
          <w:rFonts w:hint="eastAsia"/>
          <w:sz w:val="28"/>
          <w:szCs w:val="28"/>
        </w:rPr>
        <w:t>还要更多。</w:t>
      </w:r>
      <w:r w:rsidR="002665E5">
        <w:rPr>
          <w:rFonts w:hint="eastAsia"/>
          <w:sz w:val="28"/>
          <w:szCs w:val="28"/>
        </w:rPr>
        <w:t>这一方面说明增长</w:t>
      </w:r>
      <w:r w:rsidR="003062FC">
        <w:rPr>
          <w:rFonts w:hint="eastAsia"/>
          <w:sz w:val="28"/>
          <w:szCs w:val="28"/>
        </w:rPr>
        <w:t>从投资拉动到消费带动</w:t>
      </w:r>
      <w:r w:rsidR="002665E5">
        <w:rPr>
          <w:rFonts w:hint="eastAsia"/>
          <w:sz w:val="28"/>
          <w:szCs w:val="28"/>
        </w:rPr>
        <w:t>的转换，另一方面，投资的过大和过快回落对经济的稳定也有不利影响。</w:t>
      </w:r>
    </w:p>
    <w:p w:rsidR="00737721" w:rsidRDefault="00737721" w:rsidP="00EE6D6A">
      <w:pPr>
        <w:ind w:firstLineChars="200" w:firstLine="560"/>
        <w:rPr>
          <w:sz w:val="28"/>
          <w:szCs w:val="28"/>
        </w:rPr>
      </w:pPr>
      <w:r>
        <w:rPr>
          <w:rFonts w:hint="eastAsia"/>
          <w:sz w:val="28"/>
          <w:szCs w:val="28"/>
        </w:rPr>
        <w:t>在中美贸易摩擦的阴影下，上半年进出口增长</w:t>
      </w:r>
      <w:r>
        <w:rPr>
          <w:rFonts w:hint="eastAsia"/>
          <w:sz w:val="28"/>
          <w:szCs w:val="28"/>
        </w:rPr>
        <w:t>7.9%</w:t>
      </w:r>
      <w:r>
        <w:rPr>
          <w:rFonts w:hint="eastAsia"/>
          <w:sz w:val="28"/>
          <w:szCs w:val="28"/>
        </w:rPr>
        <w:t>，</w:t>
      </w:r>
      <w:r w:rsidR="002C272B">
        <w:rPr>
          <w:rFonts w:hint="eastAsia"/>
          <w:sz w:val="28"/>
          <w:szCs w:val="28"/>
        </w:rPr>
        <w:t>虽比</w:t>
      </w:r>
      <w:r w:rsidR="002C272B">
        <w:rPr>
          <w:rFonts w:hint="eastAsia"/>
          <w:sz w:val="28"/>
          <w:szCs w:val="28"/>
        </w:rPr>
        <w:t>1</w:t>
      </w:r>
      <w:r w:rsidR="002C272B">
        <w:rPr>
          <w:rFonts w:hint="eastAsia"/>
          <w:sz w:val="28"/>
          <w:szCs w:val="28"/>
        </w:rPr>
        <w:t>季度回落</w:t>
      </w:r>
      <w:r w:rsidR="002C272B">
        <w:rPr>
          <w:rFonts w:hint="eastAsia"/>
          <w:sz w:val="28"/>
          <w:szCs w:val="28"/>
        </w:rPr>
        <w:t>1.5</w:t>
      </w:r>
      <w:r w:rsidR="002C272B">
        <w:rPr>
          <w:rFonts w:hint="eastAsia"/>
          <w:sz w:val="28"/>
          <w:szCs w:val="28"/>
        </w:rPr>
        <w:t>个百分点，还是不错的成绩。不过，进口增长（</w:t>
      </w:r>
      <w:r w:rsidR="002C272B">
        <w:rPr>
          <w:rFonts w:hint="eastAsia"/>
          <w:sz w:val="28"/>
          <w:szCs w:val="28"/>
        </w:rPr>
        <w:t>11.5%</w:t>
      </w:r>
      <w:r w:rsidR="002C272B">
        <w:rPr>
          <w:rFonts w:hint="eastAsia"/>
          <w:sz w:val="28"/>
          <w:szCs w:val="28"/>
        </w:rPr>
        <w:t>）与</w:t>
      </w:r>
      <w:r w:rsidR="002C272B">
        <w:rPr>
          <w:rFonts w:hint="eastAsia"/>
          <w:sz w:val="28"/>
          <w:szCs w:val="28"/>
        </w:rPr>
        <w:t xml:space="preserve">1 </w:t>
      </w:r>
      <w:r w:rsidR="002C272B">
        <w:rPr>
          <w:rFonts w:hint="eastAsia"/>
          <w:sz w:val="28"/>
          <w:szCs w:val="28"/>
        </w:rPr>
        <w:t>季度（</w:t>
      </w:r>
      <w:r w:rsidR="002C272B">
        <w:rPr>
          <w:rFonts w:hint="eastAsia"/>
          <w:sz w:val="28"/>
          <w:szCs w:val="28"/>
        </w:rPr>
        <w:t>11.7%</w:t>
      </w:r>
      <w:r w:rsidR="002C272B">
        <w:rPr>
          <w:rFonts w:hint="eastAsia"/>
          <w:sz w:val="28"/>
          <w:szCs w:val="28"/>
        </w:rPr>
        <w:t>）基本持平，</w:t>
      </w:r>
      <w:r w:rsidR="00651A59">
        <w:rPr>
          <w:rFonts w:hint="eastAsia"/>
          <w:sz w:val="28"/>
          <w:szCs w:val="28"/>
        </w:rPr>
        <w:t>而</w:t>
      </w:r>
      <w:r w:rsidR="002C272B">
        <w:rPr>
          <w:rFonts w:hint="eastAsia"/>
          <w:sz w:val="28"/>
          <w:szCs w:val="28"/>
        </w:rPr>
        <w:t>出口增长</w:t>
      </w:r>
      <w:r w:rsidR="002C272B">
        <w:rPr>
          <w:rFonts w:hint="eastAsia"/>
          <w:sz w:val="28"/>
          <w:szCs w:val="28"/>
        </w:rPr>
        <w:t>4.9%</w:t>
      </w:r>
      <w:r w:rsidR="002C272B">
        <w:rPr>
          <w:rFonts w:hint="eastAsia"/>
          <w:sz w:val="28"/>
          <w:szCs w:val="28"/>
        </w:rPr>
        <w:t>，比</w:t>
      </w:r>
      <w:r w:rsidR="002C272B">
        <w:rPr>
          <w:rFonts w:hint="eastAsia"/>
          <w:sz w:val="28"/>
          <w:szCs w:val="28"/>
        </w:rPr>
        <w:t>1</w:t>
      </w:r>
      <w:r w:rsidR="002C272B">
        <w:rPr>
          <w:rFonts w:hint="eastAsia"/>
          <w:sz w:val="28"/>
          <w:szCs w:val="28"/>
        </w:rPr>
        <w:t>季度回落</w:t>
      </w:r>
      <w:r w:rsidR="002C272B">
        <w:rPr>
          <w:rFonts w:hint="eastAsia"/>
          <w:sz w:val="28"/>
          <w:szCs w:val="28"/>
        </w:rPr>
        <w:t>2.5</w:t>
      </w:r>
      <w:r w:rsidR="00F67D1B">
        <w:rPr>
          <w:rFonts w:hint="eastAsia"/>
          <w:sz w:val="28"/>
          <w:szCs w:val="28"/>
        </w:rPr>
        <w:t>个百分点，</w:t>
      </w:r>
      <w:r w:rsidR="002C272B">
        <w:rPr>
          <w:rFonts w:hint="eastAsia"/>
          <w:sz w:val="28"/>
          <w:szCs w:val="28"/>
        </w:rPr>
        <w:t>使贸易顺差比上年同期收窄了</w:t>
      </w:r>
      <w:r w:rsidR="002C272B">
        <w:rPr>
          <w:rFonts w:hint="eastAsia"/>
          <w:sz w:val="28"/>
          <w:szCs w:val="28"/>
        </w:rPr>
        <w:t>26.7%</w:t>
      </w:r>
      <w:r w:rsidR="00710459">
        <w:rPr>
          <w:rFonts w:hint="eastAsia"/>
          <w:sz w:val="28"/>
          <w:szCs w:val="28"/>
        </w:rPr>
        <w:t>。不过，出口回落过大</w:t>
      </w:r>
      <w:r w:rsidR="002C272B">
        <w:rPr>
          <w:rFonts w:hint="eastAsia"/>
          <w:sz w:val="28"/>
          <w:szCs w:val="28"/>
        </w:rPr>
        <w:t>值得关注，因为这一趋势有可能</w:t>
      </w:r>
      <w:r w:rsidR="00651A59">
        <w:rPr>
          <w:rFonts w:hint="eastAsia"/>
          <w:sz w:val="28"/>
          <w:szCs w:val="28"/>
        </w:rPr>
        <w:t>持续和</w:t>
      </w:r>
      <w:r w:rsidR="002C272B">
        <w:rPr>
          <w:rFonts w:hint="eastAsia"/>
          <w:sz w:val="28"/>
          <w:szCs w:val="28"/>
        </w:rPr>
        <w:t>加剧。</w:t>
      </w:r>
    </w:p>
    <w:p w:rsidR="00651A59" w:rsidRDefault="00651A59" w:rsidP="00EE6D6A">
      <w:pPr>
        <w:ind w:firstLineChars="200" w:firstLine="560"/>
        <w:rPr>
          <w:sz w:val="28"/>
          <w:szCs w:val="28"/>
        </w:rPr>
      </w:pPr>
      <w:r>
        <w:rPr>
          <w:rFonts w:hint="eastAsia"/>
          <w:sz w:val="28"/>
          <w:szCs w:val="28"/>
        </w:rPr>
        <w:t>就业乃发展之基，民生之本。</w:t>
      </w:r>
      <w:r w:rsidR="00FD4D9E">
        <w:rPr>
          <w:rFonts w:hint="eastAsia"/>
          <w:sz w:val="28"/>
          <w:szCs w:val="28"/>
        </w:rPr>
        <w:t>上半年就业情况有所改善，城镇调查失业率从</w:t>
      </w:r>
      <w:r w:rsidR="00FE5BB7">
        <w:rPr>
          <w:rFonts w:hint="eastAsia"/>
          <w:sz w:val="28"/>
          <w:szCs w:val="28"/>
        </w:rPr>
        <w:t>1</w:t>
      </w:r>
      <w:r w:rsidR="00FD4D9E">
        <w:rPr>
          <w:rFonts w:hint="eastAsia"/>
          <w:sz w:val="28"/>
          <w:szCs w:val="28"/>
        </w:rPr>
        <w:t>季度的</w:t>
      </w:r>
      <w:r w:rsidR="00FD4D9E">
        <w:rPr>
          <w:rFonts w:hint="eastAsia"/>
          <w:sz w:val="28"/>
          <w:szCs w:val="28"/>
        </w:rPr>
        <w:t>5.0</w:t>
      </w:r>
      <w:r w:rsidR="00FE5BB7">
        <w:rPr>
          <w:rFonts w:hint="eastAsia"/>
          <w:sz w:val="28"/>
          <w:szCs w:val="28"/>
        </w:rPr>
        <w:t>-5.1</w:t>
      </w:r>
      <w:r w:rsidR="00FD4D9E">
        <w:rPr>
          <w:rFonts w:hint="eastAsia"/>
          <w:sz w:val="28"/>
          <w:szCs w:val="28"/>
        </w:rPr>
        <w:t>%</w:t>
      </w:r>
      <w:r w:rsidR="00FD4D9E">
        <w:rPr>
          <w:rFonts w:hint="eastAsia"/>
          <w:sz w:val="28"/>
          <w:szCs w:val="28"/>
        </w:rPr>
        <w:t>，下降到</w:t>
      </w:r>
      <w:r w:rsidR="00FD4D9E">
        <w:rPr>
          <w:rFonts w:hint="eastAsia"/>
          <w:sz w:val="28"/>
          <w:szCs w:val="28"/>
        </w:rPr>
        <w:t>5.0%</w:t>
      </w:r>
      <w:r w:rsidR="00FD4D9E">
        <w:rPr>
          <w:rFonts w:hint="eastAsia"/>
          <w:sz w:val="28"/>
          <w:szCs w:val="28"/>
        </w:rPr>
        <w:t>以下，</w:t>
      </w:r>
      <w:r w:rsidR="00FD4D9E">
        <w:rPr>
          <w:rFonts w:hint="eastAsia"/>
          <w:sz w:val="28"/>
          <w:szCs w:val="28"/>
        </w:rPr>
        <w:t>5</w:t>
      </w:r>
      <w:r w:rsidR="00FD4D9E">
        <w:rPr>
          <w:rFonts w:hint="eastAsia"/>
          <w:sz w:val="28"/>
          <w:szCs w:val="28"/>
        </w:rPr>
        <w:t>、</w:t>
      </w:r>
      <w:r w:rsidR="00FD4D9E">
        <w:rPr>
          <w:rFonts w:hint="eastAsia"/>
          <w:sz w:val="28"/>
          <w:szCs w:val="28"/>
        </w:rPr>
        <w:t>6</w:t>
      </w:r>
      <w:r w:rsidR="00FD4D9E">
        <w:rPr>
          <w:rFonts w:hint="eastAsia"/>
          <w:sz w:val="28"/>
          <w:szCs w:val="28"/>
        </w:rPr>
        <w:t>月</w:t>
      </w:r>
      <w:r w:rsidR="00FE5BB7">
        <w:rPr>
          <w:rFonts w:hint="eastAsia"/>
          <w:sz w:val="28"/>
          <w:szCs w:val="28"/>
        </w:rPr>
        <w:t>均为</w:t>
      </w:r>
      <w:r w:rsidR="00FD4D9E">
        <w:rPr>
          <w:rFonts w:hint="eastAsia"/>
          <w:sz w:val="28"/>
          <w:szCs w:val="28"/>
        </w:rPr>
        <w:t>4.8%</w:t>
      </w:r>
      <w:r w:rsidR="00FD4D9E">
        <w:rPr>
          <w:rFonts w:hint="eastAsia"/>
          <w:sz w:val="28"/>
          <w:szCs w:val="28"/>
        </w:rPr>
        <w:t>，</w:t>
      </w:r>
      <w:r w:rsidR="00FD4D9E">
        <w:rPr>
          <w:rFonts w:hint="eastAsia"/>
          <w:sz w:val="28"/>
          <w:szCs w:val="28"/>
        </w:rPr>
        <w:t>31</w:t>
      </w:r>
      <w:r w:rsidR="00FD4D9E">
        <w:rPr>
          <w:rFonts w:hint="eastAsia"/>
          <w:sz w:val="28"/>
          <w:szCs w:val="28"/>
        </w:rPr>
        <w:t>个大城市的调查失业率也从上个季度的</w:t>
      </w:r>
      <w:r w:rsidR="00FD4D9E">
        <w:rPr>
          <w:rFonts w:hint="eastAsia"/>
          <w:sz w:val="28"/>
          <w:szCs w:val="28"/>
        </w:rPr>
        <w:t>4.8-4.9%</w:t>
      </w:r>
      <w:r w:rsidR="00FD4D9E">
        <w:rPr>
          <w:rFonts w:hint="eastAsia"/>
          <w:sz w:val="28"/>
          <w:szCs w:val="28"/>
        </w:rPr>
        <w:t>下降到</w:t>
      </w:r>
      <w:r w:rsidR="00FD4D9E">
        <w:rPr>
          <w:rFonts w:hint="eastAsia"/>
          <w:sz w:val="28"/>
          <w:szCs w:val="28"/>
        </w:rPr>
        <w:t>4.7%</w:t>
      </w:r>
      <w:r w:rsidR="00FD4D9E">
        <w:rPr>
          <w:rFonts w:hint="eastAsia"/>
          <w:sz w:val="28"/>
          <w:szCs w:val="28"/>
        </w:rPr>
        <w:t>，</w:t>
      </w:r>
      <w:r w:rsidR="00FE5BB7">
        <w:rPr>
          <w:rFonts w:hint="eastAsia"/>
          <w:sz w:val="28"/>
          <w:szCs w:val="28"/>
        </w:rPr>
        <w:t>农村外出务工劳动力也稍有增加。</w:t>
      </w:r>
      <w:r w:rsidR="00FD4D9E">
        <w:rPr>
          <w:rFonts w:hint="eastAsia"/>
          <w:sz w:val="28"/>
          <w:szCs w:val="28"/>
        </w:rPr>
        <w:t>最近，</w:t>
      </w:r>
      <w:proofErr w:type="gramStart"/>
      <w:r w:rsidR="00FD4D9E">
        <w:rPr>
          <w:rFonts w:hint="eastAsia"/>
          <w:sz w:val="28"/>
          <w:szCs w:val="28"/>
        </w:rPr>
        <w:t>发改委</w:t>
      </w:r>
      <w:proofErr w:type="gramEnd"/>
      <w:r w:rsidR="00FD4D9E">
        <w:rPr>
          <w:rFonts w:hint="eastAsia"/>
          <w:sz w:val="28"/>
          <w:szCs w:val="28"/>
        </w:rPr>
        <w:t>、教育部、科技部等</w:t>
      </w:r>
      <w:r w:rsidR="00FD4D9E">
        <w:rPr>
          <w:rFonts w:hint="eastAsia"/>
          <w:sz w:val="28"/>
          <w:szCs w:val="28"/>
        </w:rPr>
        <w:t>17</w:t>
      </w:r>
      <w:r w:rsidR="00FD4D9E">
        <w:rPr>
          <w:rFonts w:hint="eastAsia"/>
          <w:sz w:val="28"/>
          <w:szCs w:val="28"/>
        </w:rPr>
        <w:t>部门联合发文</w:t>
      </w:r>
      <w:r w:rsidR="00AC0102">
        <w:rPr>
          <w:rFonts w:hint="eastAsia"/>
          <w:sz w:val="28"/>
          <w:szCs w:val="28"/>
        </w:rPr>
        <w:t>《关于大力发展实体经济积极稳定和促进就业的指导意见》，对就业工作提出了十条政策意见，体现了宏观政策就业优</w:t>
      </w:r>
      <w:r w:rsidR="00AC0102">
        <w:rPr>
          <w:rFonts w:hint="eastAsia"/>
          <w:sz w:val="28"/>
          <w:szCs w:val="28"/>
        </w:rPr>
        <w:lastRenderedPageBreak/>
        <w:t>先的精神，还特别强调了支持返乡下乡创业，拓宽农村劳动力转移就业渠道。不过，有人提出要搞新的上山下乡运动</w:t>
      </w:r>
      <w:r w:rsidR="00FE5BB7">
        <w:rPr>
          <w:rFonts w:hint="eastAsia"/>
          <w:sz w:val="28"/>
          <w:szCs w:val="28"/>
        </w:rPr>
        <w:t>以</w:t>
      </w:r>
      <w:r w:rsidR="00AC0102">
        <w:rPr>
          <w:rFonts w:hint="eastAsia"/>
          <w:sz w:val="28"/>
          <w:szCs w:val="28"/>
        </w:rPr>
        <w:t>解决就业问题。我们认为，就业是每时每刻都发生的个人自主的职业选择，</w:t>
      </w:r>
      <w:r w:rsidR="00FE5BB7">
        <w:rPr>
          <w:rFonts w:hint="eastAsia"/>
          <w:sz w:val="28"/>
          <w:szCs w:val="28"/>
        </w:rPr>
        <w:t>不是</w:t>
      </w:r>
      <w:r w:rsidR="00F67D1B">
        <w:rPr>
          <w:rFonts w:hint="eastAsia"/>
          <w:sz w:val="28"/>
          <w:szCs w:val="28"/>
        </w:rPr>
        <w:t>搞政治</w:t>
      </w:r>
      <w:r w:rsidR="00FE5BB7">
        <w:rPr>
          <w:rFonts w:hint="eastAsia"/>
          <w:sz w:val="28"/>
          <w:szCs w:val="28"/>
        </w:rPr>
        <w:t>运动可以解决的问题。</w:t>
      </w:r>
      <w:r w:rsidR="00AC0102">
        <w:rPr>
          <w:rFonts w:hint="eastAsia"/>
          <w:sz w:val="28"/>
          <w:szCs w:val="28"/>
        </w:rPr>
        <w:t>上山下</w:t>
      </w:r>
      <w:r w:rsidR="00821C33">
        <w:rPr>
          <w:rFonts w:hint="eastAsia"/>
          <w:sz w:val="28"/>
          <w:szCs w:val="28"/>
        </w:rPr>
        <w:t>乡</w:t>
      </w:r>
      <w:r w:rsidR="00F67D1B">
        <w:rPr>
          <w:rFonts w:hint="eastAsia"/>
          <w:sz w:val="28"/>
          <w:szCs w:val="28"/>
        </w:rPr>
        <w:t>在很大程度上</w:t>
      </w:r>
      <w:r w:rsidR="00FE5BB7">
        <w:rPr>
          <w:rFonts w:hint="eastAsia"/>
          <w:sz w:val="28"/>
          <w:szCs w:val="28"/>
        </w:rPr>
        <w:t>毁掉了一代人，其</w:t>
      </w:r>
      <w:r w:rsidR="00AC0102">
        <w:rPr>
          <w:rFonts w:hint="eastAsia"/>
          <w:sz w:val="28"/>
          <w:szCs w:val="28"/>
        </w:rPr>
        <w:t>后遗症自今</w:t>
      </w:r>
      <w:r w:rsidR="00FE5BB7">
        <w:rPr>
          <w:rFonts w:hint="eastAsia"/>
          <w:sz w:val="28"/>
          <w:szCs w:val="28"/>
        </w:rPr>
        <w:t>仍未消除，可能还会持续，千万别听这些</w:t>
      </w:r>
      <w:r w:rsidR="00710459">
        <w:rPr>
          <w:rFonts w:hint="eastAsia"/>
          <w:sz w:val="28"/>
          <w:szCs w:val="28"/>
        </w:rPr>
        <w:t>瘦</w:t>
      </w:r>
      <w:r w:rsidR="00FE5BB7">
        <w:rPr>
          <w:rFonts w:hint="eastAsia"/>
          <w:sz w:val="28"/>
          <w:szCs w:val="28"/>
        </w:rPr>
        <w:t>主意。与此密切相关，上半年新设市场主体</w:t>
      </w:r>
      <w:r w:rsidR="00FE5BB7">
        <w:rPr>
          <w:rFonts w:hint="eastAsia"/>
          <w:sz w:val="28"/>
          <w:szCs w:val="28"/>
        </w:rPr>
        <w:t>998.3</w:t>
      </w:r>
      <w:r w:rsidR="00FE5BB7">
        <w:rPr>
          <w:rFonts w:hint="eastAsia"/>
          <w:sz w:val="28"/>
          <w:szCs w:val="28"/>
        </w:rPr>
        <w:t>万户，新设企业</w:t>
      </w:r>
      <w:r w:rsidR="00FE5BB7">
        <w:rPr>
          <w:rFonts w:hint="eastAsia"/>
          <w:sz w:val="28"/>
          <w:szCs w:val="28"/>
        </w:rPr>
        <w:t>327.4</w:t>
      </w:r>
      <w:r w:rsidR="00FE5BB7">
        <w:rPr>
          <w:rFonts w:hint="eastAsia"/>
          <w:sz w:val="28"/>
          <w:szCs w:val="28"/>
        </w:rPr>
        <w:t>万户，同比增长均为</w:t>
      </w:r>
      <w:r w:rsidR="00FE5BB7">
        <w:rPr>
          <w:rFonts w:hint="eastAsia"/>
          <w:sz w:val="28"/>
          <w:szCs w:val="28"/>
        </w:rPr>
        <w:t>12.5%</w:t>
      </w:r>
      <w:r w:rsidR="00FE5BB7">
        <w:rPr>
          <w:rFonts w:hint="eastAsia"/>
          <w:sz w:val="28"/>
          <w:szCs w:val="28"/>
        </w:rPr>
        <w:t>。这就为就业的增长提供了岗位保障。</w:t>
      </w:r>
      <w:r w:rsidR="00AC0102">
        <w:rPr>
          <w:sz w:val="28"/>
          <w:szCs w:val="28"/>
        </w:rPr>
        <w:t xml:space="preserve"> </w:t>
      </w:r>
    </w:p>
    <w:p w:rsidR="00A546F0" w:rsidRDefault="00A546F0" w:rsidP="00EE6D6A">
      <w:pPr>
        <w:ind w:firstLineChars="200" w:firstLine="560"/>
        <w:rPr>
          <w:sz w:val="28"/>
          <w:szCs w:val="28"/>
        </w:rPr>
      </w:pPr>
      <w:r>
        <w:rPr>
          <w:rFonts w:hint="eastAsia"/>
          <w:sz w:val="28"/>
          <w:szCs w:val="28"/>
        </w:rPr>
        <w:t>从经济效益看，三大收入均有不错的增长，但增长结构失衡也很明显。上半年，居民可支配收入实际增长</w:t>
      </w:r>
      <w:r>
        <w:rPr>
          <w:rFonts w:hint="eastAsia"/>
          <w:sz w:val="28"/>
          <w:szCs w:val="28"/>
        </w:rPr>
        <w:t>6.6%</w:t>
      </w:r>
      <w:r>
        <w:rPr>
          <w:rFonts w:hint="eastAsia"/>
          <w:sz w:val="28"/>
          <w:szCs w:val="28"/>
        </w:rPr>
        <w:t>，与第</w:t>
      </w:r>
      <w:r>
        <w:rPr>
          <w:rFonts w:hint="eastAsia"/>
          <w:sz w:val="28"/>
          <w:szCs w:val="28"/>
        </w:rPr>
        <w:t>1</w:t>
      </w:r>
      <w:r>
        <w:rPr>
          <w:rFonts w:hint="eastAsia"/>
          <w:sz w:val="28"/>
          <w:szCs w:val="28"/>
        </w:rPr>
        <w:t>季度持平，</w:t>
      </w:r>
      <w:r w:rsidR="00A83897">
        <w:rPr>
          <w:rFonts w:hint="eastAsia"/>
          <w:sz w:val="28"/>
          <w:szCs w:val="28"/>
        </w:rPr>
        <w:t>但</w:t>
      </w:r>
      <w:r>
        <w:rPr>
          <w:rFonts w:hint="eastAsia"/>
          <w:sz w:val="28"/>
          <w:szCs w:val="28"/>
        </w:rPr>
        <w:t>慢</w:t>
      </w:r>
      <w:r w:rsidR="00A83897">
        <w:rPr>
          <w:rFonts w:hint="eastAsia"/>
          <w:sz w:val="28"/>
          <w:szCs w:val="28"/>
        </w:rPr>
        <w:t>于</w:t>
      </w:r>
      <w:r>
        <w:rPr>
          <w:rFonts w:hint="eastAsia"/>
          <w:sz w:val="28"/>
          <w:szCs w:val="28"/>
        </w:rPr>
        <w:t>GDP</w:t>
      </w:r>
      <w:r>
        <w:rPr>
          <w:rFonts w:hint="eastAsia"/>
          <w:sz w:val="28"/>
          <w:szCs w:val="28"/>
        </w:rPr>
        <w:t>的增长，</w:t>
      </w:r>
      <w:r w:rsidR="00A83897">
        <w:rPr>
          <w:rFonts w:hint="eastAsia"/>
          <w:sz w:val="28"/>
          <w:szCs w:val="28"/>
        </w:rPr>
        <w:t>而政府一般公共预算收入增长</w:t>
      </w:r>
      <w:r w:rsidR="00A83897">
        <w:rPr>
          <w:rFonts w:hint="eastAsia"/>
          <w:sz w:val="28"/>
          <w:szCs w:val="28"/>
        </w:rPr>
        <w:t>10.6%</w:t>
      </w:r>
      <w:r w:rsidR="00A83897">
        <w:rPr>
          <w:rFonts w:hint="eastAsia"/>
          <w:sz w:val="28"/>
          <w:szCs w:val="28"/>
        </w:rPr>
        <w:t>，税收收入增长</w:t>
      </w:r>
      <w:r w:rsidR="00A83897">
        <w:rPr>
          <w:rFonts w:hint="eastAsia"/>
          <w:sz w:val="28"/>
          <w:szCs w:val="28"/>
        </w:rPr>
        <w:t>15.3%</w:t>
      </w:r>
      <w:r w:rsidR="00A83897">
        <w:rPr>
          <w:rFonts w:hint="eastAsia"/>
          <w:sz w:val="28"/>
          <w:szCs w:val="28"/>
        </w:rPr>
        <w:t>，规模以上工业企业利润增长</w:t>
      </w:r>
      <w:r w:rsidR="00A83897">
        <w:rPr>
          <w:rFonts w:hint="eastAsia"/>
          <w:sz w:val="28"/>
          <w:szCs w:val="28"/>
        </w:rPr>
        <w:t>16.5%</w:t>
      </w:r>
      <w:r w:rsidR="00A83897">
        <w:rPr>
          <w:rFonts w:hint="eastAsia"/>
          <w:sz w:val="28"/>
          <w:szCs w:val="28"/>
        </w:rPr>
        <w:t>，</w:t>
      </w:r>
      <w:proofErr w:type="gramStart"/>
      <w:r w:rsidR="00737721">
        <w:rPr>
          <w:rFonts w:hint="eastAsia"/>
          <w:sz w:val="28"/>
          <w:szCs w:val="28"/>
        </w:rPr>
        <w:t>央企利润</w:t>
      </w:r>
      <w:proofErr w:type="gramEnd"/>
      <w:r w:rsidR="00737721">
        <w:rPr>
          <w:rFonts w:hint="eastAsia"/>
          <w:sz w:val="28"/>
          <w:szCs w:val="28"/>
        </w:rPr>
        <w:t>增长</w:t>
      </w:r>
      <w:r w:rsidR="00737721">
        <w:rPr>
          <w:rFonts w:hint="eastAsia"/>
          <w:sz w:val="28"/>
          <w:szCs w:val="28"/>
        </w:rPr>
        <w:t>23%</w:t>
      </w:r>
      <w:r w:rsidR="00737721">
        <w:rPr>
          <w:rFonts w:hint="eastAsia"/>
          <w:sz w:val="28"/>
          <w:szCs w:val="28"/>
        </w:rPr>
        <w:t>，</w:t>
      </w:r>
      <w:r w:rsidR="00A83897">
        <w:rPr>
          <w:rFonts w:hint="eastAsia"/>
          <w:sz w:val="28"/>
          <w:szCs w:val="28"/>
        </w:rPr>
        <w:t>均大大快于居民收入</w:t>
      </w:r>
      <w:r w:rsidR="00F67D1B">
        <w:rPr>
          <w:rFonts w:hint="eastAsia"/>
          <w:sz w:val="28"/>
          <w:szCs w:val="28"/>
        </w:rPr>
        <w:t>和</w:t>
      </w:r>
      <w:r w:rsidR="00F67D1B">
        <w:rPr>
          <w:rFonts w:hint="eastAsia"/>
          <w:sz w:val="28"/>
          <w:szCs w:val="28"/>
        </w:rPr>
        <w:t>GDP</w:t>
      </w:r>
      <w:r w:rsidR="00A83897">
        <w:rPr>
          <w:rFonts w:hint="eastAsia"/>
          <w:sz w:val="28"/>
          <w:szCs w:val="28"/>
        </w:rPr>
        <w:t>的增长。看来，</w:t>
      </w:r>
      <w:r w:rsidR="00821C33">
        <w:rPr>
          <w:rFonts w:hint="eastAsia"/>
          <w:sz w:val="28"/>
          <w:szCs w:val="28"/>
        </w:rPr>
        <w:t>减税的步子还可大一些，</w:t>
      </w:r>
      <w:r w:rsidR="00A83897">
        <w:rPr>
          <w:rFonts w:hint="eastAsia"/>
          <w:sz w:val="28"/>
          <w:szCs w:val="28"/>
        </w:rPr>
        <w:t>收入分配向居民倾斜的问题并未得到改善。</w:t>
      </w:r>
    </w:p>
    <w:p w:rsidR="00F67D1B" w:rsidRDefault="00F67D1B" w:rsidP="00EE6D6A">
      <w:pPr>
        <w:ind w:firstLineChars="200" w:firstLine="560"/>
        <w:rPr>
          <w:sz w:val="28"/>
          <w:szCs w:val="28"/>
        </w:rPr>
      </w:pPr>
    </w:p>
    <w:p w:rsidR="00664488" w:rsidRPr="00664488" w:rsidRDefault="00664488" w:rsidP="00664488">
      <w:pPr>
        <w:pStyle w:val="a5"/>
        <w:numPr>
          <w:ilvl w:val="0"/>
          <w:numId w:val="1"/>
        </w:numPr>
        <w:ind w:firstLineChars="0"/>
        <w:rPr>
          <w:sz w:val="28"/>
          <w:szCs w:val="28"/>
        </w:rPr>
      </w:pPr>
      <w:r w:rsidRPr="00664488">
        <w:rPr>
          <w:rFonts w:hint="eastAsia"/>
          <w:sz w:val="28"/>
          <w:szCs w:val="28"/>
        </w:rPr>
        <w:t>房地产调控</w:t>
      </w:r>
      <w:r w:rsidR="00A860AB">
        <w:rPr>
          <w:rFonts w:hint="eastAsia"/>
          <w:sz w:val="28"/>
          <w:szCs w:val="28"/>
        </w:rPr>
        <w:t>进入摇号时代</w:t>
      </w:r>
    </w:p>
    <w:p w:rsidR="00664488" w:rsidRPr="00664488" w:rsidRDefault="00664488" w:rsidP="00664488">
      <w:pPr>
        <w:rPr>
          <w:sz w:val="28"/>
          <w:szCs w:val="28"/>
        </w:rPr>
      </w:pPr>
    </w:p>
    <w:p w:rsidR="00651A59" w:rsidRDefault="009A7328" w:rsidP="00EE6D6A">
      <w:pPr>
        <w:ind w:firstLineChars="200" w:firstLine="560"/>
        <w:rPr>
          <w:sz w:val="28"/>
          <w:szCs w:val="28"/>
        </w:rPr>
      </w:pPr>
      <w:r>
        <w:rPr>
          <w:rFonts w:hint="eastAsia"/>
          <w:sz w:val="28"/>
          <w:szCs w:val="28"/>
        </w:rPr>
        <w:t>政府调控一直房地产业运行的主调，自</w:t>
      </w:r>
      <w:r>
        <w:rPr>
          <w:rFonts w:hint="eastAsia"/>
          <w:sz w:val="28"/>
          <w:szCs w:val="28"/>
        </w:rPr>
        <w:t>2016</w:t>
      </w:r>
      <w:r>
        <w:rPr>
          <w:rFonts w:hint="eastAsia"/>
          <w:sz w:val="28"/>
          <w:szCs w:val="28"/>
        </w:rPr>
        <w:t>年</w:t>
      </w:r>
      <w:r>
        <w:rPr>
          <w:rFonts w:hint="eastAsia"/>
          <w:sz w:val="28"/>
          <w:szCs w:val="28"/>
        </w:rPr>
        <w:t>9.30</w:t>
      </w:r>
      <w:r>
        <w:rPr>
          <w:rFonts w:hint="eastAsia"/>
          <w:sz w:val="28"/>
          <w:szCs w:val="28"/>
        </w:rPr>
        <w:t>政策以来，目前已经进入了第五轮调控升级期。</w:t>
      </w:r>
      <w:r w:rsidR="00964896">
        <w:rPr>
          <w:rFonts w:hint="eastAsia"/>
          <w:sz w:val="28"/>
          <w:szCs w:val="28"/>
        </w:rPr>
        <w:t>“五一”前后，住建部就房地产调控问题密集</w:t>
      </w:r>
      <w:r w:rsidR="00296AEC">
        <w:rPr>
          <w:rFonts w:hint="eastAsia"/>
          <w:sz w:val="28"/>
          <w:szCs w:val="28"/>
        </w:rPr>
        <w:t>约谈</w:t>
      </w:r>
      <w:r w:rsidR="00964896">
        <w:rPr>
          <w:rFonts w:hint="eastAsia"/>
          <w:sz w:val="28"/>
          <w:szCs w:val="28"/>
        </w:rPr>
        <w:t>12</w:t>
      </w:r>
      <w:r w:rsidR="00964896">
        <w:rPr>
          <w:rFonts w:hint="eastAsia"/>
          <w:sz w:val="28"/>
          <w:szCs w:val="28"/>
        </w:rPr>
        <w:t>个城市，把房地产调控提高到政治站位的高度，</w:t>
      </w:r>
      <w:r w:rsidR="003F10F1">
        <w:rPr>
          <w:rFonts w:hint="eastAsia"/>
          <w:sz w:val="28"/>
          <w:szCs w:val="28"/>
        </w:rPr>
        <w:t>并在</w:t>
      </w:r>
      <w:r w:rsidR="003F10F1">
        <w:rPr>
          <w:rFonts w:hint="eastAsia"/>
          <w:sz w:val="28"/>
          <w:szCs w:val="28"/>
        </w:rPr>
        <w:t>5</w:t>
      </w:r>
      <w:r w:rsidR="003F10F1">
        <w:rPr>
          <w:rFonts w:hint="eastAsia"/>
          <w:sz w:val="28"/>
          <w:szCs w:val="28"/>
        </w:rPr>
        <w:t>月</w:t>
      </w:r>
      <w:r w:rsidR="003F10F1">
        <w:rPr>
          <w:rFonts w:hint="eastAsia"/>
          <w:sz w:val="28"/>
          <w:szCs w:val="28"/>
        </w:rPr>
        <w:t>19</w:t>
      </w:r>
      <w:r w:rsidR="003F10F1">
        <w:rPr>
          <w:rFonts w:hint="eastAsia"/>
          <w:sz w:val="28"/>
          <w:szCs w:val="28"/>
        </w:rPr>
        <w:t>日发布长文通知，提出进一步做好房地产调控工作的六大举措，各地纷纷贯彻落实。</w:t>
      </w:r>
      <w:r>
        <w:rPr>
          <w:rFonts w:hint="eastAsia"/>
          <w:sz w:val="28"/>
          <w:szCs w:val="28"/>
        </w:rPr>
        <w:t>据中原地产研究中心统计数据显示，今年</w:t>
      </w:r>
      <w:r>
        <w:rPr>
          <w:rFonts w:hint="eastAsia"/>
          <w:sz w:val="28"/>
          <w:szCs w:val="28"/>
        </w:rPr>
        <w:t>1-6</w:t>
      </w:r>
      <w:r>
        <w:rPr>
          <w:rFonts w:hint="eastAsia"/>
          <w:sz w:val="28"/>
          <w:szCs w:val="28"/>
        </w:rPr>
        <w:t>月，</w:t>
      </w:r>
      <w:r w:rsidR="000D1BB6">
        <w:rPr>
          <w:rFonts w:hint="eastAsia"/>
          <w:sz w:val="28"/>
          <w:szCs w:val="28"/>
        </w:rPr>
        <w:t>全国房地产调控政策发布超过</w:t>
      </w:r>
      <w:r w:rsidR="000D1BB6">
        <w:rPr>
          <w:rFonts w:hint="eastAsia"/>
          <w:sz w:val="28"/>
          <w:szCs w:val="28"/>
        </w:rPr>
        <w:t>180</w:t>
      </w:r>
      <w:r w:rsidR="000D1BB6">
        <w:rPr>
          <w:rFonts w:hint="eastAsia"/>
          <w:sz w:val="28"/>
          <w:szCs w:val="28"/>
        </w:rPr>
        <w:t>次，累计</w:t>
      </w:r>
      <w:r w:rsidR="000D1BB6">
        <w:rPr>
          <w:rFonts w:hint="eastAsia"/>
          <w:sz w:val="28"/>
          <w:szCs w:val="28"/>
        </w:rPr>
        <w:t>73</w:t>
      </w:r>
      <w:r w:rsidR="000D1BB6">
        <w:rPr>
          <w:rFonts w:hint="eastAsia"/>
          <w:sz w:val="28"/>
          <w:szCs w:val="28"/>
        </w:rPr>
        <w:t>个城市进</w:t>
      </w:r>
      <w:r w:rsidR="000D1BB6">
        <w:rPr>
          <w:rFonts w:hint="eastAsia"/>
          <w:sz w:val="28"/>
          <w:szCs w:val="28"/>
        </w:rPr>
        <w:lastRenderedPageBreak/>
        <w:t>行调控，出台了</w:t>
      </w:r>
      <w:r w:rsidR="000D1BB6">
        <w:rPr>
          <w:rFonts w:hint="eastAsia"/>
          <w:sz w:val="28"/>
          <w:szCs w:val="28"/>
        </w:rPr>
        <w:t>135</w:t>
      </w:r>
      <w:r w:rsidR="000D1BB6">
        <w:rPr>
          <w:rFonts w:hint="eastAsia"/>
          <w:sz w:val="28"/>
          <w:szCs w:val="28"/>
        </w:rPr>
        <w:t>条</w:t>
      </w:r>
      <w:r w:rsidR="00296AEC">
        <w:rPr>
          <w:rFonts w:hint="eastAsia"/>
          <w:sz w:val="28"/>
          <w:szCs w:val="28"/>
        </w:rPr>
        <w:t>限</w:t>
      </w:r>
      <w:r w:rsidR="000D1BB6">
        <w:rPr>
          <w:rFonts w:hint="eastAsia"/>
          <w:sz w:val="28"/>
          <w:szCs w:val="28"/>
        </w:rPr>
        <w:t>购政策，</w:t>
      </w:r>
      <w:r w:rsidR="000D1BB6">
        <w:rPr>
          <w:rFonts w:hint="eastAsia"/>
          <w:sz w:val="28"/>
          <w:szCs w:val="28"/>
        </w:rPr>
        <w:t>176</w:t>
      </w:r>
      <w:r w:rsidR="000D1BB6">
        <w:rPr>
          <w:rFonts w:hint="eastAsia"/>
          <w:sz w:val="28"/>
          <w:szCs w:val="28"/>
        </w:rPr>
        <w:t>条限贷政策，</w:t>
      </w:r>
      <w:r w:rsidR="000D1BB6">
        <w:rPr>
          <w:rFonts w:hint="eastAsia"/>
          <w:sz w:val="28"/>
          <w:szCs w:val="28"/>
        </w:rPr>
        <w:t>51</w:t>
      </w:r>
      <w:r w:rsidR="000D1BB6">
        <w:rPr>
          <w:rFonts w:hint="eastAsia"/>
          <w:sz w:val="28"/>
          <w:szCs w:val="28"/>
        </w:rPr>
        <w:t>个城市和海南省全域实行限售。其中限售</w:t>
      </w:r>
      <w:r w:rsidR="000D1BB6">
        <w:rPr>
          <w:rFonts w:hint="eastAsia"/>
          <w:sz w:val="28"/>
          <w:szCs w:val="28"/>
        </w:rPr>
        <w:t>5</w:t>
      </w:r>
      <w:r w:rsidR="000D1BB6">
        <w:rPr>
          <w:rFonts w:hint="eastAsia"/>
          <w:sz w:val="28"/>
          <w:szCs w:val="28"/>
        </w:rPr>
        <w:t>年成为房价上涨过快城市的标配。上海、南京、长沙、成都、杭州、西安等</w:t>
      </w:r>
      <w:r w:rsidR="000D1BB6">
        <w:rPr>
          <w:rFonts w:hint="eastAsia"/>
          <w:sz w:val="28"/>
          <w:szCs w:val="28"/>
        </w:rPr>
        <w:t>7</w:t>
      </w:r>
      <w:r w:rsidR="000D1BB6">
        <w:rPr>
          <w:rFonts w:hint="eastAsia"/>
          <w:sz w:val="28"/>
          <w:szCs w:val="28"/>
        </w:rPr>
        <w:t>个城市发布了房源统一摇号的政策</w:t>
      </w:r>
      <w:r w:rsidR="003F10F1">
        <w:rPr>
          <w:rFonts w:hint="eastAsia"/>
          <w:sz w:val="28"/>
          <w:szCs w:val="28"/>
        </w:rPr>
        <w:t>，一些城市限制单位参与摇号。</w:t>
      </w:r>
      <w:r w:rsidR="00AD3BF9">
        <w:rPr>
          <w:rFonts w:hint="eastAsia"/>
          <w:sz w:val="28"/>
          <w:szCs w:val="28"/>
        </w:rPr>
        <w:t>房地产调控进入了摇号</w:t>
      </w:r>
      <w:r w:rsidR="008A4292">
        <w:rPr>
          <w:rFonts w:hint="eastAsia"/>
          <w:sz w:val="28"/>
          <w:szCs w:val="28"/>
        </w:rPr>
        <w:t>分配房源的</w:t>
      </w:r>
      <w:r w:rsidR="00AD3BF9">
        <w:rPr>
          <w:rFonts w:hint="eastAsia"/>
          <w:sz w:val="28"/>
          <w:szCs w:val="28"/>
        </w:rPr>
        <w:t>时代。</w:t>
      </w:r>
      <w:r w:rsidR="003F10F1">
        <w:rPr>
          <w:rFonts w:hint="eastAsia"/>
          <w:sz w:val="28"/>
          <w:szCs w:val="28"/>
        </w:rPr>
        <w:t>6</w:t>
      </w:r>
      <w:r w:rsidR="003F10F1">
        <w:rPr>
          <w:rFonts w:hint="eastAsia"/>
          <w:sz w:val="28"/>
          <w:szCs w:val="28"/>
        </w:rPr>
        <w:t>月底，住建部、中宣部等七部委联合宣布，自</w:t>
      </w:r>
      <w:r w:rsidR="003F10F1">
        <w:rPr>
          <w:rFonts w:hint="eastAsia"/>
          <w:sz w:val="28"/>
          <w:szCs w:val="28"/>
        </w:rPr>
        <w:t>7</w:t>
      </w:r>
      <w:r w:rsidR="003F10F1">
        <w:rPr>
          <w:rFonts w:hint="eastAsia"/>
          <w:sz w:val="28"/>
          <w:szCs w:val="28"/>
        </w:rPr>
        <w:t>月初到</w:t>
      </w:r>
      <w:r w:rsidR="003F10F1">
        <w:rPr>
          <w:rFonts w:hint="eastAsia"/>
          <w:sz w:val="28"/>
          <w:szCs w:val="28"/>
        </w:rPr>
        <w:t>12</w:t>
      </w:r>
      <w:r w:rsidR="003F10F1">
        <w:rPr>
          <w:rFonts w:hint="eastAsia"/>
          <w:sz w:val="28"/>
          <w:szCs w:val="28"/>
        </w:rPr>
        <w:t>月底，在北京、上海等</w:t>
      </w:r>
      <w:r w:rsidR="003F10F1">
        <w:rPr>
          <w:rFonts w:hint="eastAsia"/>
          <w:sz w:val="28"/>
          <w:szCs w:val="28"/>
        </w:rPr>
        <w:t>30</w:t>
      </w:r>
      <w:r w:rsidR="003F10F1">
        <w:rPr>
          <w:rFonts w:hint="eastAsia"/>
          <w:sz w:val="28"/>
          <w:szCs w:val="28"/>
        </w:rPr>
        <w:t>个城市治理房地产市场乱象。</w:t>
      </w:r>
      <w:r w:rsidR="000F611D">
        <w:rPr>
          <w:rFonts w:hint="eastAsia"/>
          <w:sz w:val="28"/>
          <w:szCs w:val="28"/>
        </w:rPr>
        <w:t>要求各地切实履行房地产市场监管主体责任，把打击侵害群众利益违法违规行为作为整治房地产市场乱象工作的重中之重。从国家统计局发布的“</w:t>
      </w:r>
      <w:r w:rsidR="000F611D">
        <w:rPr>
          <w:rFonts w:hint="eastAsia"/>
          <w:sz w:val="28"/>
          <w:szCs w:val="28"/>
        </w:rPr>
        <w:t>2018</w:t>
      </w:r>
      <w:r w:rsidR="000F611D">
        <w:rPr>
          <w:rFonts w:hint="eastAsia"/>
          <w:sz w:val="28"/>
          <w:szCs w:val="28"/>
        </w:rPr>
        <w:t>年</w:t>
      </w:r>
      <w:r w:rsidR="000F611D">
        <w:rPr>
          <w:rFonts w:hint="eastAsia"/>
          <w:sz w:val="28"/>
          <w:szCs w:val="28"/>
        </w:rPr>
        <w:t>6</w:t>
      </w:r>
      <w:r w:rsidR="000F611D">
        <w:rPr>
          <w:rFonts w:hint="eastAsia"/>
          <w:sz w:val="28"/>
          <w:szCs w:val="28"/>
        </w:rPr>
        <w:t>月份</w:t>
      </w:r>
      <w:r w:rsidR="000F611D">
        <w:rPr>
          <w:rFonts w:hint="eastAsia"/>
          <w:sz w:val="28"/>
          <w:szCs w:val="28"/>
        </w:rPr>
        <w:t>70</w:t>
      </w:r>
      <w:r w:rsidR="000F611D">
        <w:rPr>
          <w:rFonts w:hint="eastAsia"/>
          <w:sz w:val="28"/>
          <w:szCs w:val="28"/>
        </w:rPr>
        <w:t>个大中城市住宅销售价格变动情况”看，新建商品住宅价格上涨的城市</w:t>
      </w:r>
      <w:r w:rsidR="000F611D">
        <w:rPr>
          <w:rFonts w:hint="eastAsia"/>
          <w:sz w:val="28"/>
          <w:szCs w:val="28"/>
        </w:rPr>
        <w:t>61</w:t>
      </w:r>
      <w:r w:rsidR="000F611D">
        <w:rPr>
          <w:rFonts w:hint="eastAsia"/>
          <w:sz w:val="28"/>
          <w:szCs w:val="28"/>
        </w:rPr>
        <w:t>个，与上月持平，下跌的有</w:t>
      </w:r>
      <w:r w:rsidR="000F611D">
        <w:rPr>
          <w:rFonts w:hint="eastAsia"/>
          <w:sz w:val="28"/>
          <w:szCs w:val="28"/>
        </w:rPr>
        <w:t>9</w:t>
      </w:r>
      <w:r w:rsidR="000F611D">
        <w:rPr>
          <w:rFonts w:hint="eastAsia"/>
          <w:sz w:val="28"/>
          <w:szCs w:val="28"/>
        </w:rPr>
        <w:t>个，比上月多一个。一线城市新房止跌持平，二手房微涨，</w:t>
      </w:r>
      <w:r w:rsidR="000F611D">
        <w:rPr>
          <w:rFonts w:hint="eastAsia"/>
          <w:sz w:val="28"/>
          <w:szCs w:val="28"/>
        </w:rPr>
        <w:t>31</w:t>
      </w:r>
      <w:r w:rsidR="000F611D">
        <w:rPr>
          <w:rFonts w:hint="eastAsia"/>
          <w:sz w:val="28"/>
          <w:szCs w:val="28"/>
        </w:rPr>
        <w:t>个二线城市</w:t>
      </w:r>
      <w:r w:rsidR="006F6929">
        <w:rPr>
          <w:rFonts w:hint="eastAsia"/>
          <w:sz w:val="28"/>
          <w:szCs w:val="28"/>
        </w:rPr>
        <w:t>分别上涨</w:t>
      </w:r>
      <w:r w:rsidR="006F6929">
        <w:rPr>
          <w:rFonts w:hint="eastAsia"/>
          <w:sz w:val="28"/>
          <w:szCs w:val="28"/>
        </w:rPr>
        <w:t>6.3%</w:t>
      </w:r>
      <w:r w:rsidR="006F6929">
        <w:rPr>
          <w:rFonts w:hint="eastAsia"/>
          <w:sz w:val="28"/>
          <w:szCs w:val="28"/>
        </w:rPr>
        <w:t>和</w:t>
      </w:r>
      <w:r w:rsidR="006F6929">
        <w:rPr>
          <w:rFonts w:hint="eastAsia"/>
          <w:sz w:val="28"/>
          <w:szCs w:val="28"/>
        </w:rPr>
        <w:t>4.6%</w:t>
      </w:r>
      <w:r w:rsidR="006F6929">
        <w:rPr>
          <w:rFonts w:hint="eastAsia"/>
          <w:sz w:val="28"/>
          <w:szCs w:val="28"/>
        </w:rPr>
        <w:t>，</w:t>
      </w:r>
      <w:r w:rsidR="006F6929">
        <w:rPr>
          <w:rFonts w:hint="eastAsia"/>
          <w:sz w:val="28"/>
          <w:szCs w:val="28"/>
        </w:rPr>
        <w:t>35</w:t>
      </w:r>
      <w:r w:rsidR="006F6929">
        <w:rPr>
          <w:rFonts w:hint="eastAsia"/>
          <w:sz w:val="28"/>
          <w:szCs w:val="28"/>
        </w:rPr>
        <w:t>个三线城市分别上涨</w:t>
      </w:r>
      <w:r w:rsidR="006F6929">
        <w:rPr>
          <w:rFonts w:hint="eastAsia"/>
          <w:sz w:val="28"/>
          <w:szCs w:val="28"/>
        </w:rPr>
        <w:t>6.0%</w:t>
      </w:r>
      <w:r w:rsidR="006F6929">
        <w:rPr>
          <w:rFonts w:hint="eastAsia"/>
          <w:sz w:val="28"/>
          <w:szCs w:val="28"/>
        </w:rPr>
        <w:t>和</w:t>
      </w:r>
      <w:r w:rsidR="006F6929">
        <w:rPr>
          <w:rFonts w:hint="eastAsia"/>
          <w:sz w:val="28"/>
          <w:szCs w:val="28"/>
        </w:rPr>
        <w:t>4.3%</w:t>
      </w:r>
      <w:r w:rsidR="006F6929">
        <w:rPr>
          <w:rFonts w:hint="eastAsia"/>
          <w:sz w:val="28"/>
          <w:szCs w:val="28"/>
        </w:rPr>
        <w:t>。看来，房地产调控将会从一线城市向二、三线城市全面铺开。</w:t>
      </w:r>
    </w:p>
    <w:p w:rsidR="00AD3BF9" w:rsidRDefault="00AD3BF9" w:rsidP="00EE6D6A">
      <w:pPr>
        <w:ind w:firstLineChars="200" w:firstLine="560"/>
        <w:rPr>
          <w:sz w:val="28"/>
          <w:szCs w:val="28"/>
        </w:rPr>
      </w:pPr>
      <w:r>
        <w:rPr>
          <w:rFonts w:hint="eastAsia"/>
          <w:sz w:val="28"/>
          <w:szCs w:val="28"/>
        </w:rPr>
        <w:t>首先，看看一些新的调控措施和原有措施的新内容。</w:t>
      </w:r>
      <w:r w:rsidR="008A4292">
        <w:rPr>
          <w:rFonts w:hint="eastAsia"/>
          <w:sz w:val="28"/>
          <w:szCs w:val="28"/>
        </w:rPr>
        <w:t>在本轮调控中，限购城市不断增加，以至催生了摇号制度的诞生，一些城市将限购从自然人调整为家庭，对离异家庭购房也作了限定。摇号制度表面看比较公平，</w:t>
      </w:r>
      <w:r w:rsidR="00917027">
        <w:rPr>
          <w:rFonts w:hint="eastAsia"/>
          <w:sz w:val="28"/>
          <w:szCs w:val="28"/>
        </w:rPr>
        <w:t>但却放大了供不应求和房价利差的社会影响，进而出现了种种乱象。一</w:t>
      </w:r>
      <w:r w:rsidR="0046032A">
        <w:rPr>
          <w:rFonts w:hint="eastAsia"/>
          <w:sz w:val="28"/>
          <w:szCs w:val="28"/>
        </w:rPr>
        <w:t>、</w:t>
      </w:r>
      <w:r w:rsidR="00917027">
        <w:rPr>
          <w:rFonts w:hint="eastAsia"/>
          <w:sz w:val="28"/>
          <w:szCs w:val="28"/>
        </w:rPr>
        <w:t>二手房价倒挂产生的房价利差吸引了大量购房者，有资格的购房者变成投机者，放大了需求，加剧了供不应求。至于摇号中的违规操作也不少见，造成</w:t>
      </w:r>
      <w:r w:rsidR="004751F2">
        <w:rPr>
          <w:rFonts w:hint="eastAsia"/>
          <w:sz w:val="28"/>
          <w:szCs w:val="28"/>
        </w:rPr>
        <w:t>了</w:t>
      </w:r>
      <w:r w:rsidR="00917027">
        <w:rPr>
          <w:rFonts w:hint="eastAsia"/>
          <w:sz w:val="28"/>
          <w:szCs w:val="28"/>
        </w:rPr>
        <w:t>人</w:t>
      </w:r>
      <w:r w:rsidR="004751F2">
        <w:rPr>
          <w:rFonts w:hint="eastAsia"/>
          <w:sz w:val="28"/>
          <w:szCs w:val="28"/>
        </w:rPr>
        <w:t>为的</w:t>
      </w:r>
      <w:r w:rsidR="00917027">
        <w:rPr>
          <w:rFonts w:hint="eastAsia"/>
          <w:sz w:val="28"/>
          <w:szCs w:val="28"/>
        </w:rPr>
        <w:t>恐慌。</w:t>
      </w:r>
      <w:r w:rsidR="008E1D30">
        <w:rPr>
          <w:rFonts w:hint="eastAsia"/>
          <w:sz w:val="28"/>
          <w:szCs w:val="28"/>
        </w:rPr>
        <w:t>有人认为，住建部的约谈，意味着房地产调控从过去的</w:t>
      </w:r>
      <w:proofErr w:type="gramStart"/>
      <w:r w:rsidR="008E1D30">
        <w:rPr>
          <w:rFonts w:hint="eastAsia"/>
          <w:sz w:val="28"/>
          <w:szCs w:val="28"/>
        </w:rPr>
        <w:t>一</w:t>
      </w:r>
      <w:proofErr w:type="gramEnd"/>
      <w:r w:rsidR="008E1D30">
        <w:rPr>
          <w:rFonts w:hint="eastAsia"/>
          <w:sz w:val="28"/>
          <w:szCs w:val="28"/>
        </w:rPr>
        <w:t>城</w:t>
      </w:r>
      <w:proofErr w:type="gramStart"/>
      <w:r w:rsidR="008E1D30">
        <w:rPr>
          <w:rFonts w:hint="eastAsia"/>
          <w:sz w:val="28"/>
          <w:szCs w:val="28"/>
        </w:rPr>
        <w:t>一策开始</w:t>
      </w:r>
      <w:proofErr w:type="gramEnd"/>
      <w:r w:rsidR="008E1D30">
        <w:rPr>
          <w:rFonts w:hint="eastAsia"/>
          <w:sz w:val="28"/>
          <w:szCs w:val="28"/>
        </w:rPr>
        <w:t>升级到预警、约谈、问责三步走，但是，自从国家实施房地产调控政策以来，似乎没有一</w:t>
      </w:r>
      <w:r w:rsidR="008E1D30">
        <w:rPr>
          <w:rFonts w:hint="eastAsia"/>
          <w:sz w:val="28"/>
          <w:szCs w:val="28"/>
        </w:rPr>
        <w:lastRenderedPageBreak/>
        <w:t>起足以警示和震慑地方政府的问责案例发生</w:t>
      </w:r>
      <w:r w:rsidR="0046032A">
        <w:rPr>
          <w:rFonts w:hint="eastAsia"/>
          <w:sz w:val="28"/>
          <w:szCs w:val="28"/>
        </w:rPr>
        <w:t>，地方政府在博弈中不断试探着突破中央政府的底线</w:t>
      </w:r>
      <w:r w:rsidR="008E1D30">
        <w:rPr>
          <w:rFonts w:hint="eastAsia"/>
          <w:sz w:val="28"/>
          <w:szCs w:val="28"/>
        </w:rPr>
        <w:t>。</w:t>
      </w:r>
      <w:r w:rsidR="004751F2">
        <w:rPr>
          <w:rFonts w:hint="eastAsia"/>
          <w:sz w:val="28"/>
          <w:szCs w:val="28"/>
        </w:rPr>
        <w:t>住建部</w:t>
      </w:r>
      <w:r w:rsidR="004751F2">
        <w:rPr>
          <w:rFonts w:hint="eastAsia"/>
          <w:sz w:val="28"/>
          <w:szCs w:val="28"/>
        </w:rPr>
        <w:t>6</w:t>
      </w:r>
      <w:r w:rsidR="004751F2">
        <w:rPr>
          <w:rFonts w:hint="eastAsia"/>
          <w:sz w:val="28"/>
          <w:szCs w:val="28"/>
        </w:rPr>
        <w:t>条举措</w:t>
      </w:r>
      <w:r w:rsidR="008E1D30">
        <w:rPr>
          <w:rFonts w:hint="eastAsia"/>
          <w:sz w:val="28"/>
          <w:szCs w:val="28"/>
        </w:rPr>
        <w:t>的新内容是</w:t>
      </w:r>
      <w:r w:rsidR="004751F2">
        <w:rPr>
          <w:rFonts w:hint="eastAsia"/>
          <w:sz w:val="28"/>
          <w:szCs w:val="28"/>
        </w:rPr>
        <w:t>首次提出增加共有产权住房用地和控制租金指标，以前，大多城市共有产权住房用地采取划拨方式，包括经济适用房</w:t>
      </w:r>
      <w:r w:rsidR="0046032A">
        <w:rPr>
          <w:rFonts w:hint="eastAsia"/>
          <w:sz w:val="28"/>
          <w:szCs w:val="28"/>
        </w:rPr>
        <w:t>和</w:t>
      </w:r>
      <w:r w:rsidR="004751F2">
        <w:rPr>
          <w:rFonts w:hint="eastAsia"/>
          <w:sz w:val="28"/>
          <w:szCs w:val="28"/>
        </w:rPr>
        <w:t>中低价商品房等，新办法意味着这类房源的用地将通过土地市场的</w:t>
      </w:r>
      <w:proofErr w:type="gramStart"/>
      <w:r w:rsidR="004751F2">
        <w:rPr>
          <w:rFonts w:hint="eastAsia"/>
          <w:sz w:val="28"/>
          <w:szCs w:val="28"/>
        </w:rPr>
        <w:t>招拍挂</w:t>
      </w:r>
      <w:proofErr w:type="gramEnd"/>
      <w:r w:rsidR="004751F2">
        <w:rPr>
          <w:rFonts w:hint="eastAsia"/>
          <w:sz w:val="28"/>
          <w:szCs w:val="28"/>
        </w:rPr>
        <w:t>来供应，或效仿北京在商品住房用地中“搭配”共有产权住房。而“控租金”</w:t>
      </w:r>
      <w:r w:rsidR="00564150">
        <w:rPr>
          <w:rFonts w:hint="eastAsia"/>
          <w:sz w:val="28"/>
          <w:szCs w:val="28"/>
        </w:rPr>
        <w:t>如何控，控多少，又成了新问题。普通居民手中的二手房，租金主要由市场决定，政府无法控制，而能够控制的也许就是国有企业和大型中</w:t>
      </w:r>
      <w:r w:rsidR="0046032A">
        <w:rPr>
          <w:rFonts w:hint="eastAsia"/>
          <w:sz w:val="28"/>
          <w:szCs w:val="28"/>
        </w:rPr>
        <w:t>介</w:t>
      </w:r>
      <w:r w:rsidR="00564150">
        <w:rPr>
          <w:rFonts w:hint="eastAsia"/>
          <w:sz w:val="28"/>
          <w:szCs w:val="28"/>
        </w:rPr>
        <w:t>所掌握的租赁房源。总之，新老举措的调控思路未变，仍然基本依赖行政措施，这不仅无法建立房地产市场的长效机制，使市场在资源配置中起决定作用，而且无法消除房地产市场的乱象。</w:t>
      </w:r>
    </w:p>
    <w:p w:rsidR="00443630" w:rsidRDefault="008E41B4" w:rsidP="00EE6D6A">
      <w:pPr>
        <w:ind w:firstLineChars="200" w:firstLine="560"/>
        <w:rPr>
          <w:sz w:val="28"/>
          <w:szCs w:val="28"/>
        </w:rPr>
      </w:pPr>
      <w:r>
        <w:rPr>
          <w:rFonts w:hint="eastAsia"/>
          <w:sz w:val="28"/>
          <w:szCs w:val="28"/>
        </w:rPr>
        <w:t>虽然住建部给出的信息是楼市调控不会放松，谁也不能突破政策。但是合法非法突破的路径很多。就以最近人才大战的升级来看，</w:t>
      </w:r>
      <w:r>
        <w:rPr>
          <w:rFonts w:hint="eastAsia"/>
          <w:sz w:val="28"/>
          <w:szCs w:val="28"/>
        </w:rPr>
        <w:t>50</w:t>
      </w:r>
      <w:r>
        <w:rPr>
          <w:rFonts w:hint="eastAsia"/>
          <w:sz w:val="28"/>
          <w:szCs w:val="28"/>
        </w:rPr>
        <w:t>多个城市参加到“抢人”的行列之中，采取的办法都是给户籍、给住房、给补贴。因而房地产限购关上了房地产投资的大门，而宽松的人才引进政策又打开了购房的一扇窗户。</w:t>
      </w:r>
      <w:r w:rsidR="000C765C">
        <w:rPr>
          <w:rFonts w:hint="eastAsia"/>
          <w:sz w:val="28"/>
          <w:szCs w:val="28"/>
        </w:rPr>
        <w:t>你能说这样的突破不合法、不合理？</w:t>
      </w:r>
    </w:p>
    <w:p w:rsidR="00A66790" w:rsidRDefault="00A66790" w:rsidP="006E0EE8">
      <w:pPr>
        <w:ind w:firstLineChars="200" w:firstLine="560"/>
        <w:rPr>
          <w:sz w:val="28"/>
          <w:szCs w:val="28"/>
        </w:rPr>
      </w:pPr>
      <w:r>
        <w:rPr>
          <w:rFonts w:hint="eastAsia"/>
          <w:sz w:val="28"/>
          <w:szCs w:val="28"/>
        </w:rPr>
        <w:t>其次，房地产调控难以奏效是由于其背后的利益链条。土地市场高烧不断就是</w:t>
      </w:r>
      <w:r w:rsidR="000C765C">
        <w:rPr>
          <w:rFonts w:hint="eastAsia"/>
          <w:sz w:val="28"/>
          <w:szCs w:val="28"/>
        </w:rPr>
        <w:t>最好的证明。这集中反映了</w:t>
      </w:r>
      <w:r>
        <w:rPr>
          <w:rFonts w:hint="eastAsia"/>
          <w:sz w:val="28"/>
          <w:szCs w:val="28"/>
        </w:rPr>
        <w:t>不少地方政府对土地财政的依赖。下表是近</w:t>
      </w:r>
      <w:r>
        <w:rPr>
          <w:rFonts w:hint="eastAsia"/>
          <w:sz w:val="28"/>
          <w:szCs w:val="28"/>
        </w:rPr>
        <w:t>10</w:t>
      </w:r>
      <w:r>
        <w:rPr>
          <w:rFonts w:hint="eastAsia"/>
          <w:sz w:val="28"/>
          <w:szCs w:val="28"/>
        </w:rPr>
        <w:t>年土地出让金的情况。</w:t>
      </w:r>
    </w:p>
    <w:tbl>
      <w:tblPr>
        <w:tblStyle w:val="a6"/>
        <w:tblW w:w="0" w:type="auto"/>
        <w:tblLook w:val="04A0"/>
      </w:tblPr>
      <w:tblGrid>
        <w:gridCol w:w="959"/>
        <w:gridCol w:w="1701"/>
        <w:gridCol w:w="1600"/>
        <w:gridCol w:w="951"/>
        <w:gridCol w:w="1701"/>
        <w:gridCol w:w="1610"/>
      </w:tblGrid>
      <w:tr w:rsidR="006E0EE8" w:rsidTr="006E0EE8">
        <w:tc>
          <w:tcPr>
            <w:tcW w:w="959" w:type="dxa"/>
          </w:tcPr>
          <w:p w:rsidR="006E0EE8" w:rsidRDefault="006E0EE8" w:rsidP="006E0EE8">
            <w:pPr>
              <w:rPr>
                <w:sz w:val="28"/>
                <w:szCs w:val="28"/>
              </w:rPr>
            </w:pPr>
            <w:r>
              <w:rPr>
                <w:rFonts w:hint="eastAsia"/>
                <w:sz w:val="28"/>
                <w:szCs w:val="28"/>
              </w:rPr>
              <w:t>年份</w:t>
            </w:r>
          </w:p>
        </w:tc>
        <w:tc>
          <w:tcPr>
            <w:tcW w:w="1701" w:type="dxa"/>
          </w:tcPr>
          <w:p w:rsidR="006E0EE8" w:rsidRDefault="006E0EE8" w:rsidP="006E0EE8">
            <w:pPr>
              <w:rPr>
                <w:sz w:val="28"/>
                <w:szCs w:val="28"/>
              </w:rPr>
            </w:pPr>
            <w:r>
              <w:rPr>
                <w:rFonts w:hint="eastAsia"/>
                <w:sz w:val="28"/>
                <w:szCs w:val="28"/>
              </w:rPr>
              <w:t>数量（亿元）</w:t>
            </w:r>
          </w:p>
        </w:tc>
        <w:tc>
          <w:tcPr>
            <w:tcW w:w="1600" w:type="dxa"/>
          </w:tcPr>
          <w:p w:rsidR="006E0EE8" w:rsidRDefault="006E0EE8" w:rsidP="006E0EE8">
            <w:pPr>
              <w:rPr>
                <w:sz w:val="28"/>
                <w:szCs w:val="28"/>
              </w:rPr>
            </w:pPr>
            <w:r>
              <w:rPr>
                <w:rFonts w:hint="eastAsia"/>
                <w:sz w:val="28"/>
                <w:szCs w:val="28"/>
              </w:rPr>
              <w:t>增长率（</w:t>
            </w:r>
            <w:r>
              <w:rPr>
                <w:rFonts w:hint="eastAsia"/>
                <w:sz w:val="28"/>
                <w:szCs w:val="28"/>
              </w:rPr>
              <w:t>%</w:t>
            </w:r>
            <w:r>
              <w:rPr>
                <w:rFonts w:hint="eastAsia"/>
                <w:sz w:val="28"/>
                <w:szCs w:val="28"/>
              </w:rPr>
              <w:t>）</w:t>
            </w:r>
          </w:p>
        </w:tc>
        <w:tc>
          <w:tcPr>
            <w:tcW w:w="951" w:type="dxa"/>
          </w:tcPr>
          <w:p w:rsidR="006E0EE8" w:rsidRDefault="006E0EE8" w:rsidP="006E0EE8">
            <w:pPr>
              <w:rPr>
                <w:sz w:val="28"/>
                <w:szCs w:val="28"/>
              </w:rPr>
            </w:pPr>
            <w:r>
              <w:rPr>
                <w:rFonts w:hint="eastAsia"/>
                <w:sz w:val="28"/>
                <w:szCs w:val="28"/>
              </w:rPr>
              <w:t>年份</w:t>
            </w:r>
          </w:p>
        </w:tc>
        <w:tc>
          <w:tcPr>
            <w:tcW w:w="1701" w:type="dxa"/>
          </w:tcPr>
          <w:p w:rsidR="006E0EE8" w:rsidRDefault="006E0EE8" w:rsidP="006E0EE8">
            <w:pPr>
              <w:rPr>
                <w:sz w:val="28"/>
                <w:szCs w:val="28"/>
              </w:rPr>
            </w:pPr>
            <w:r>
              <w:rPr>
                <w:rFonts w:hint="eastAsia"/>
                <w:sz w:val="28"/>
                <w:szCs w:val="28"/>
              </w:rPr>
              <w:t>数量（亿元）</w:t>
            </w:r>
          </w:p>
        </w:tc>
        <w:tc>
          <w:tcPr>
            <w:tcW w:w="1610" w:type="dxa"/>
          </w:tcPr>
          <w:p w:rsidR="006E0EE8" w:rsidRDefault="006E0EE8" w:rsidP="006E0EE8">
            <w:pPr>
              <w:rPr>
                <w:sz w:val="28"/>
                <w:szCs w:val="28"/>
              </w:rPr>
            </w:pPr>
            <w:r>
              <w:rPr>
                <w:rFonts w:hint="eastAsia"/>
                <w:sz w:val="28"/>
                <w:szCs w:val="28"/>
              </w:rPr>
              <w:t>增长率（</w:t>
            </w:r>
            <w:r>
              <w:rPr>
                <w:rFonts w:hint="eastAsia"/>
                <w:sz w:val="28"/>
                <w:szCs w:val="28"/>
              </w:rPr>
              <w:t>%</w:t>
            </w:r>
            <w:r>
              <w:rPr>
                <w:rFonts w:hint="eastAsia"/>
                <w:sz w:val="28"/>
                <w:szCs w:val="28"/>
              </w:rPr>
              <w:t>）</w:t>
            </w:r>
          </w:p>
        </w:tc>
      </w:tr>
      <w:tr w:rsidR="006E0EE8" w:rsidTr="006E0EE8">
        <w:tc>
          <w:tcPr>
            <w:tcW w:w="959" w:type="dxa"/>
          </w:tcPr>
          <w:p w:rsidR="006E0EE8" w:rsidRDefault="006E0EE8" w:rsidP="006E0EE8">
            <w:pPr>
              <w:rPr>
                <w:sz w:val="28"/>
                <w:szCs w:val="28"/>
              </w:rPr>
            </w:pPr>
            <w:r>
              <w:rPr>
                <w:rFonts w:hint="eastAsia"/>
                <w:sz w:val="28"/>
                <w:szCs w:val="28"/>
              </w:rPr>
              <w:t>2009</w:t>
            </w:r>
          </w:p>
        </w:tc>
        <w:tc>
          <w:tcPr>
            <w:tcW w:w="1701" w:type="dxa"/>
          </w:tcPr>
          <w:p w:rsidR="006E0EE8" w:rsidRDefault="006E0EE8" w:rsidP="006E0EE8">
            <w:pPr>
              <w:rPr>
                <w:sz w:val="28"/>
                <w:szCs w:val="28"/>
              </w:rPr>
            </w:pPr>
            <w:r>
              <w:rPr>
                <w:rFonts w:hint="eastAsia"/>
                <w:sz w:val="28"/>
                <w:szCs w:val="28"/>
              </w:rPr>
              <w:t>15910.2</w:t>
            </w:r>
          </w:p>
        </w:tc>
        <w:tc>
          <w:tcPr>
            <w:tcW w:w="1600" w:type="dxa"/>
          </w:tcPr>
          <w:p w:rsidR="006E0EE8" w:rsidRDefault="006E0EE8" w:rsidP="006E0EE8">
            <w:pPr>
              <w:rPr>
                <w:sz w:val="28"/>
                <w:szCs w:val="28"/>
              </w:rPr>
            </w:pPr>
            <w:r>
              <w:rPr>
                <w:rFonts w:hint="eastAsia"/>
                <w:sz w:val="28"/>
                <w:szCs w:val="28"/>
              </w:rPr>
              <w:t>63.4</w:t>
            </w:r>
          </w:p>
        </w:tc>
        <w:tc>
          <w:tcPr>
            <w:tcW w:w="951" w:type="dxa"/>
          </w:tcPr>
          <w:p w:rsidR="006E0EE8" w:rsidRDefault="006E0EE8" w:rsidP="006E0EE8">
            <w:pPr>
              <w:rPr>
                <w:sz w:val="28"/>
                <w:szCs w:val="28"/>
              </w:rPr>
            </w:pPr>
            <w:r>
              <w:rPr>
                <w:rFonts w:hint="eastAsia"/>
                <w:sz w:val="28"/>
                <w:szCs w:val="28"/>
              </w:rPr>
              <w:t>2014</w:t>
            </w:r>
          </w:p>
        </w:tc>
        <w:tc>
          <w:tcPr>
            <w:tcW w:w="1701" w:type="dxa"/>
          </w:tcPr>
          <w:p w:rsidR="006E0EE8" w:rsidRDefault="00663455" w:rsidP="006E0EE8">
            <w:pPr>
              <w:rPr>
                <w:sz w:val="28"/>
                <w:szCs w:val="28"/>
              </w:rPr>
            </w:pPr>
            <w:r>
              <w:rPr>
                <w:rFonts w:hint="eastAsia"/>
                <w:sz w:val="28"/>
                <w:szCs w:val="28"/>
              </w:rPr>
              <w:t>42940</w:t>
            </w:r>
          </w:p>
        </w:tc>
        <w:tc>
          <w:tcPr>
            <w:tcW w:w="1610" w:type="dxa"/>
          </w:tcPr>
          <w:p w:rsidR="006E0EE8" w:rsidRDefault="00663455" w:rsidP="006E0EE8">
            <w:pPr>
              <w:rPr>
                <w:sz w:val="28"/>
                <w:szCs w:val="28"/>
              </w:rPr>
            </w:pPr>
            <w:r>
              <w:rPr>
                <w:rFonts w:hint="eastAsia"/>
                <w:sz w:val="28"/>
                <w:szCs w:val="28"/>
              </w:rPr>
              <w:t>4.1</w:t>
            </w:r>
          </w:p>
        </w:tc>
      </w:tr>
      <w:tr w:rsidR="006E0EE8" w:rsidTr="006E0EE8">
        <w:tc>
          <w:tcPr>
            <w:tcW w:w="959" w:type="dxa"/>
          </w:tcPr>
          <w:p w:rsidR="006E0EE8" w:rsidRDefault="006E0EE8" w:rsidP="006E0EE8">
            <w:pPr>
              <w:rPr>
                <w:sz w:val="28"/>
                <w:szCs w:val="28"/>
              </w:rPr>
            </w:pPr>
            <w:r>
              <w:rPr>
                <w:rFonts w:hint="eastAsia"/>
                <w:sz w:val="28"/>
                <w:szCs w:val="28"/>
              </w:rPr>
              <w:lastRenderedPageBreak/>
              <w:t>2010</w:t>
            </w:r>
          </w:p>
        </w:tc>
        <w:tc>
          <w:tcPr>
            <w:tcW w:w="1701" w:type="dxa"/>
          </w:tcPr>
          <w:p w:rsidR="006E0EE8" w:rsidRDefault="006E0EE8" w:rsidP="006E0EE8">
            <w:pPr>
              <w:rPr>
                <w:sz w:val="28"/>
                <w:szCs w:val="28"/>
              </w:rPr>
            </w:pPr>
            <w:r>
              <w:rPr>
                <w:rFonts w:hint="eastAsia"/>
                <w:sz w:val="28"/>
                <w:szCs w:val="28"/>
              </w:rPr>
              <w:t>27000</w:t>
            </w:r>
          </w:p>
        </w:tc>
        <w:tc>
          <w:tcPr>
            <w:tcW w:w="1600" w:type="dxa"/>
          </w:tcPr>
          <w:p w:rsidR="006E0EE8" w:rsidRDefault="006E0EE8" w:rsidP="006E0EE8">
            <w:pPr>
              <w:rPr>
                <w:sz w:val="28"/>
                <w:szCs w:val="28"/>
              </w:rPr>
            </w:pPr>
            <w:r>
              <w:rPr>
                <w:rFonts w:hint="eastAsia"/>
                <w:sz w:val="28"/>
                <w:szCs w:val="28"/>
              </w:rPr>
              <w:t>69.7</w:t>
            </w:r>
          </w:p>
        </w:tc>
        <w:tc>
          <w:tcPr>
            <w:tcW w:w="951" w:type="dxa"/>
          </w:tcPr>
          <w:p w:rsidR="006E0EE8" w:rsidRDefault="006E0EE8" w:rsidP="006E0EE8">
            <w:pPr>
              <w:rPr>
                <w:sz w:val="28"/>
                <w:szCs w:val="28"/>
              </w:rPr>
            </w:pPr>
            <w:r>
              <w:rPr>
                <w:rFonts w:hint="eastAsia"/>
                <w:sz w:val="28"/>
                <w:szCs w:val="28"/>
              </w:rPr>
              <w:t>2015</w:t>
            </w:r>
          </w:p>
        </w:tc>
        <w:tc>
          <w:tcPr>
            <w:tcW w:w="1701" w:type="dxa"/>
          </w:tcPr>
          <w:p w:rsidR="006E0EE8" w:rsidRDefault="00663455" w:rsidP="006E0EE8">
            <w:pPr>
              <w:rPr>
                <w:sz w:val="28"/>
                <w:szCs w:val="28"/>
              </w:rPr>
            </w:pPr>
            <w:r>
              <w:rPr>
                <w:rFonts w:hint="eastAsia"/>
                <w:sz w:val="28"/>
                <w:szCs w:val="28"/>
              </w:rPr>
              <w:t>32547</w:t>
            </w:r>
          </w:p>
        </w:tc>
        <w:tc>
          <w:tcPr>
            <w:tcW w:w="1610" w:type="dxa"/>
          </w:tcPr>
          <w:p w:rsidR="006E0EE8" w:rsidRDefault="00663455" w:rsidP="00663455">
            <w:pPr>
              <w:rPr>
                <w:sz w:val="28"/>
                <w:szCs w:val="28"/>
              </w:rPr>
            </w:pPr>
            <w:r>
              <w:rPr>
                <w:rFonts w:hint="eastAsia"/>
                <w:sz w:val="28"/>
                <w:szCs w:val="28"/>
              </w:rPr>
              <w:t>-24.2</w:t>
            </w:r>
          </w:p>
        </w:tc>
      </w:tr>
      <w:tr w:rsidR="006E0EE8" w:rsidTr="006E0EE8">
        <w:tc>
          <w:tcPr>
            <w:tcW w:w="959" w:type="dxa"/>
          </w:tcPr>
          <w:p w:rsidR="006E0EE8" w:rsidRDefault="006E0EE8" w:rsidP="006E0EE8">
            <w:pPr>
              <w:rPr>
                <w:sz w:val="28"/>
                <w:szCs w:val="28"/>
              </w:rPr>
            </w:pPr>
            <w:r>
              <w:rPr>
                <w:rFonts w:hint="eastAsia"/>
                <w:sz w:val="28"/>
                <w:szCs w:val="28"/>
              </w:rPr>
              <w:t>2011</w:t>
            </w:r>
          </w:p>
        </w:tc>
        <w:tc>
          <w:tcPr>
            <w:tcW w:w="1701" w:type="dxa"/>
          </w:tcPr>
          <w:p w:rsidR="006E0EE8" w:rsidRDefault="006E0EE8" w:rsidP="00663455">
            <w:pPr>
              <w:rPr>
                <w:sz w:val="28"/>
                <w:szCs w:val="28"/>
              </w:rPr>
            </w:pPr>
            <w:r>
              <w:rPr>
                <w:rFonts w:hint="eastAsia"/>
                <w:sz w:val="28"/>
                <w:szCs w:val="28"/>
              </w:rPr>
              <w:t>3</w:t>
            </w:r>
            <w:r w:rsidR="00663455">
              <w:rPr>
                <w:rFonts w:hint="eastAsia"/>
                <w:sz w:val="28"/>
                <w:szCs w:val="28"/>
              </w:rPr>
              <w:t>3166</w:t>
            </w:r>
          </w:p>
        </w:tc>
        <w:tc>
          <w:tcPr>
            <w:tcW w:w="1600" w:type="dxa"/>
          </w:tcPr>
          <w:p w:rsidR="006E0EE8" w:rsidRDefault="00663455" w:rsidP="006E0EE8">
            <w:pPr>
              <w:rPr>
                <w:sz w:val="28"/>
                <w:szCs w:val="28"/>
              </w:rPr>
            </w:pPr>
            <w:r>
              <w:rPr>
                <w:rFonts w:hint="eastAsia"/>
                <w:sz w:val="28"/>
                <w:szCs w:val="28"/>
              </w:rPr>
              <w:t>22.84</w:t>
            </w:r>
          </w:p>
        </w:tc>
        <w:tc>
          <w:tcPr>
            <w:tcW w:w="951" w:type="dxa"/>
          </w:tcPr>
          <w:p w:rsidR="006E0EE8" w:rsidRDefault="006E0EE8" w:rsidP="006E0EE8">
            <w:pPr>
              <w:rPr>
                <w:sz w:val="28"/>
                <w:szCs w:val="28"/>
              </w:rPr>
            </w:pPr>
            <w:r>
              <w:rPr>
                <w:rFonts w:hint="eastAsia"/>
                <w:sz w:val="28"/>
                <w:szCs w:val="28"/>
              </w:rPr>
              <w:t>2016</w:t>
            </w:r>
          </w:p>
        </w:tc>
        <w:tc>
          <w:tcPr>
            <w:tcW w:w="1701" w:type="dxa"/>
          </w:tcPr>
          <w:p w:rsidR="006E0EE8" w:rsidRDefault="00663455" w:rsidP="006E0EE8">
            <w:pPr>
              <w:rPr>
                <w:sz w:val="28"/>
                <w:szCs w:val="28"/>
              </w:rPr>
            </w:pPr>
            <w:r>
              <w:rPr>
                <w:rFonts w:hint="eastAsia"/>
                <w:sz w:val="28"/>
                <w:szCs w:val="28"/>
              </w:rPr>
              <w:t>37457</w:t>
            </w:r>
          </w:p>
        </w:tc>
        <w:tc>
          <w:tcPr>
            <w:tcW w:w="1610" w:type="dxa"/>
          </w:tcPr>
          <w:p w:rsidR="006E0EE8" w:rsidRDefault="00663455" w:rsidP="006E0EE8">
            <w:pPr>
              <w:rPr>
                <w:sz w:val="28"/>
                <w:szCs w:val="28"/>
              </w:rPr>
            </w:pPr>
            <w:r>
              <w:rPr>
                <w:rFonts w:hint="eastAsia"/>
                <w:sz w:val="28"/>
                <w:szCs w:val="28"/>
              </w:rPr>
              <w:t>15.09</w:t>
            </w:r>
          </w:p>
        </w:tc>
      </w:tr>
      <w:tr w:rsidR="006E0EE8" w:rsidTr="006E0EE8">
        <w:tc>
          <w:tcPr>
            <w:tcW w:w="959" w:type="dxa"/>
          </w:tcPr>
          <w:p w:rsidR="006E0EE8" w:rsidRDefault="006E0EE8" w:rsidP="006E0EE8">
            <w:pPr>
              <w:rPr>
                <w:sz w:val="28"/>
                <w:szCs w:val="28"/>
              </w:rPr>
            </w:pPr>
            <w:r>
              <w:rPr>
                <w:rFonts w:hint="eastAsia"/>
                <w:sz w:val="28"/>
                <w:szCs w:val="28"/>
              </w:rPr>
              <w:t>2012</w:t>
            </w:r>
          </w:p>
        </w:tc>
        <w:tc>
          <w:tcPr>
            <w:tcW w:w="1701" w:type="dxa"/>
          </w:tcPr>
          <w:p w:rsidR="006E0EE8" w:rsidRDefault="006E0EE8" w:rsidP="00663455">
            <w:pPr>
              <w:rPr>
                <w:sz w:val="28"/>
                <w:szCs w:val="28"/>
              </w:rPr>
            </w:pPr>
            <w:r>
              <w:rPr>
                <w:rFonts w:hint="eastAsia"/>
                <w:sz w:val="28"/>
                <w:szCs w:val="28"/>
              </w:rPr>
              <w:t>2</w:t>
            </w:r>
            <w:r w:rsidR="00663455">
              <w:rPr>
                <w:rFonts w:hint="eastAsia"/>
                <w:sz w:val="28"/>
                <w:szCs w:val="28"/>
              </w:rPr>
              <w:t>8422</w:t>
            </w:r>
          </w:p>
        </w:tc>
        <w:tc>
          <w:tcPr>
            <w:tcW w:w="1600" w:type="dxa"/>
          </w:tcPr>
          <w:p w:rsidR="006E0EE8" w:rsidRDefault="006E0EE8" w:rsidP="00663455">
            <w:pPr>
              <w:rPr>
                <w:sz w:val="28"/>
                <w:szCs w:val="28"/>
              </w:rPr>
            </w:pPr>
            <w:r>
              <w:rPr>
                <w:rFonts w:hint="eastAsia"/>
                <w:sz w:val="28"/>
                <w:szCs w:val="28"/>
              </w:rPr>
              <w:t>-14.</w:t>
            </w:r>
            <w:r w:rsidR="00663455">
              <w:rPr>
                <w:rFonts w:hint="eastAsia"/>
                <w:sz w:val="28"/>
                <w:szCs w:val="28"/>
              </w:rPr>
              <w:t>3</w:t>
            </w:r>
          </w:p>
        </w:tc>
        <w:tc>
          <w:tcPr>
            <w:tcW w:w="951" w:type="dxa"/>
          </w:tcPr>
          <w:p w:rsidR="006E0EE8" w:rsidRDefault="006E0EE8" w:rsidP="006E0EE8">
            <w:pPr>
              <w:rPr>
                <w:sz w:val="28"/>
                <w:szCs w:val="28"/>
              </w:rPr>
            </w:pPr>
            <w:r>
              <w:rPr>
                <w:rFonts w:hint="eastAsia"/>
                <w:sz w:val="28"/>
                <w:szCs w:val="28"/>
              </w:rPr>
              <w:t>2017</w:t>
            </w:r>
          </w:p>
        </w:tc>
        <w:tc>
          <w:tcPr>
            <w:tcW w:w="1701" w:type="dxa"/>
          </w:tcPr>
          <w:p w:rsidR="006E0EE8" w:rsidRDefault="00663455" w:rsidP="006E0EE8">
            <w:pPr>
              <w:rPr>
                <w:sz w:val="28"/>
                <w:szCs w:val="28"/>
              </w:rPr>
            </w:pPr>
            <w:r>
              <w:rPr>
                <w:rFonts w:hint="eastAsia"/>
                <w:sz w:val="28"/>
                <w:szCs w:val="28"/>
              </w:rPr>
              <w:t>52000</w:t>
            </w:r>
          </w:p>
        </w:tc>
        <w:tc>
          <w:tcPr>
            <w:tcW w:w="1610" w:type="dxa"/>
          </w:tcPr>
          <w:p w:rsidR="006E0EE8" w:rsidRDefault="00663455" w:rsidP="006E0EE8">
            <w:pPr>
              <w:rPr>
                <w:sz w:val="28"/>
                <w:szCs w:val="28"/>
              </w:rPr>
            </w:pPr>
            <w:r>
              <w:rPr>
                <w:rFonts w:hint="eastAsia"/>
                <w:sz w:val="28"/>
                <w:szCs w:val="28"/>
              </w:rPr>
              <w:t>38.83</w:t>
            </w:r>
          </w:p>
        </w:tc>
      </w:tr>
      <w:tr w:rsidR="006E0EE8" w:rsidTr="006E0EE8">
        <w:tc>
          <w:tcPr>
            <w:tcW w:w="959" w:type="dxa"/>
          </w:tcPr>
          <w:p w:rsidR="006E0EE8" w:rsidRDefault="006E0EE8" w:rsidP="006E0EE8">
            <w:pPr>
              <w:rPr>
                <w:sz w:val="28"/>
                <w:szCs w:val="28"/>
              </w:rPr>
            </w:pPr>
            <w:r>
              <w:rPr>
                <w:rFonts w:hint="eastAsia"/>
                <w:sz w:val="28"/>
                <w:szCs w:val="28"/>
              </w:rPr>
              <w:t>2013</w:t>
            </w:r>
          </w:p>
        </w:tc>
        <w:tc>
          <w:tcPr>
            <w:tcW w:w="1701" w:type="dxa"/>
          </w:tcPr>
          <w:p w:rsidR="006E0EE8" w:rsidRDefault="00663455" w:rsidP="00663455">
            <w:pPr>
              <w:rPr>
                <w:sz w:val="28"/>
                <w:szCs w:val="28"/>
              </w:rPr>
            </w:pPr>
            <w:r>
              <w:rPr>
                <w:rFonts w:hint="eastAsia"/>
                <w:sz w:val="28"/>
                <w:szCs w:val="28"/>
              </w:rPr>
              <w:t>41250</w:t>
            </w:r>
          </w:p>
        </w:tc>
        <w:tc>
          <w:tcPr>
            <w:tcW w:w="1600" w:type="dxa"/>
          </w:tcPr>
          <w:p w:rsidR="006E0EE8" w:rsidRDefault="00663455" w:rsidP="006E0EE8">
            <w:pPr>
              <w:rPr>
                <w:sz w:val="28"/>
                <w:szCs w:val="28"/>
              </w:rPr>
            </w:pPr>
            <w:r>
              <w:rPr>
                <w:rFonts w:hint="eastAsia"/>
                <w:sz w:val="28"/>
                <w:szCs w:val="28"/>
              </w:rPr>
              <w:t>45.13</w:t>
            </w:r>
          </w:p>
        </w:tc>
        <w:tc>
          <w:tcPr>
            <w:tcW w:w="951" w:type="dxa"/>
          </w:tcPr>
          <w:p w:rsidR="006E0EE8" w:rsidRPr="006E0EE8" w:rsidRDefault="006E0EE8" w:rsidP="006E0EE8">
            <w:pPr>
              <w:rPr>
                <w:szCs w:val="21"/>
              </w:rPr>
            </w:pPr>
            <w:r w:rsidRPr="006E0EE8">
              <w:rPr>
                <w:rFonts w:hint="eastAsia"/>
                <w:szCs w:val="21"/>
              </w:rPr>
              <w:t>2018</w:t>
            </w:r>
            <w:r>
              <w:rPr>
                <w:rFonts w:hint="eastAsia"/>
                <w:szCs w:val="21"/>
              </w:rPr>
              <w:t>年</w:t>
            </w:r>
            <w:r>
              <w:rPr>
                <w:rFonts w:hint="eastAsia"/>
                <w:szCs w:val="21"/>
              </w:rPr>
              <w:t>1-4</w:t>
            </w:r>
            <w:r>
              <w:rPr>
                <w:rFonts w:hint="eastAsia"/>
                <w:szCs w:val="21"/>
              </w:rPr>
              <w:t>月</w:t>
            </w:r>
          </w:p>
        </w:tc>
        <w:tc>
          <w:tcPr>
            <w:tcW w:w="1701" w:type="dxa"/>
          </w:tcPr>
          <w:p w:rsidR="006E0EE8" w:rsidRDefault="00663455" w:rsidP="009B6326">
            <w:pPr>
              <w:rPr>
                <w:sz w:val="28"/>
                <w:szCs w:val="28"/>
              </w:rPr>
            </w:pPr>
            <w:r>
              <w:rPr>
                <w:rFonts w:hint="eastAsia"/>
                <w:sz w:val="28"/>
                <w:szCs w:val="28"/>
              </w:rPr>
              <w:t>1</w:t>
            </w:r>
            <w:r w:rsidR="009B6326">
              <w:rPr>
                <w:rFonts w:hint="eastAsia"/>
                <w:sz w:val="28"/>
                <w:szCs w:val="28"/>
              </w:rPr>
              <w:t>795</w:t>
            </w:r>
            <w:r>
              <w:rPr>
                <w:rFonts w:hint="eastAsia"/>
                <w:sz w:val="28"/>
                <w:szCs w:val="28"/>
              </w:rPr>
              <w:t>8</w:t>
            </w:r>
          </w:p>
        </w:tc>
        <w:tc>
          <w:tcPr>
            <w:tcW w:w="1610" w:type="dxa"/>
          </w:tcPr>
          <w:p w:rsidR="006E0EE8" w:rsidRDefault="00663455" w:rsidP="006E0EE8">
            <w:pPr>
              <w:rPr>
                <w:sz w:val="28"/>
                <w:szCs w:val="28"/>
              </w:rPr>
            </w:pPr>
            <w:r>
              <w:rPr>
                <w:rFonts w:hint="eastAsia"/>
                <w:sz w:val="28"/>
                <w:szCs w:val="28"/>
              </w:rPr>
              <w:t>40.7</w:t>
            </w:r>
          </w:p>
        </w:tc>
      </w:tr>
    </w:tbl>
    <w:p w:rsidR="006E0EE8" w:rsidRDefault="009B6326" w:rsidP="006E0EE8">
      <w:pPr>
        <w:ind w:firstLineChars="200" w:firstLine="560"/>
        <w:rPr>
          <w:rFonts w:asciiTheme="minorEastAsia" w:hAnsiTheme="minorEastAsia"/>
          <w:sz w:val="28"/>
          <w:szCs w:val="28"/>
        </w:rPr>
      </w:pPr>
      <w:r>
        <w:rPr>
          <w:rFonts w:hint="eastAsia"/>
          <w:sz w:val="28"/>
          <w:szCs w:val="28"/>
        </w:rPr>
        <w:t>根据中原地产研究中心的统计，</w:t>
      </w:r>
      <w:r>
        <w:rPr>
          <w:rFonts w:hint="eastAsia"/>
          <w:sz w:val="28"/>
          <w:szCs w:val="28"/>
        </w:rPr>
        <w:t>2018</w:t>
      </w:r>
      <w:r>
        <w:rPr>
          <w:rFonts w:hint="eastAsia"/>
          <w:sz w:val="28"/>
          <w:szCs w:val="28"/>
        </w:rPr>
        <w:t>年</w:t>
      </w:r>
      <w:r>
        <w:rPr>
          <w:rFonts w:hint="eastAsia"/>
          <w:sz w:val="28"/>
          <w:szCs w:val="28"/>
        </w:rPr>
        <w:t>1-4</w:t>
      </w:r>
      <w:r>
        <w:rPr>
          <w:rFonts w:hint="eastAsia"/>
          <w:sz w:val="28"/>
          <w:szCs w:val="28"/>
        </w:rPr>
        <w:t>月，</w:t>
      </w:r>
      <w:r w:rsidR="0095180B">
        <w:rPr>
          <w:rFonts w:hint="eastAsia"/>
          <w:sz w:val="28"/>
          <w:szCs w:val="28"/>
        </w:rPr>
        <w:t>全国</w:t>
      </w:r>
      <w:r>
        <w:rPr>
          <w:rFonts w:hint="eastAsia"/>
          <w:sz w:val="28"/>
          <w:szCs w:val="28"/>
        </w:rPr>
        <w:t>50</w:t>
      </w:r>
      <w:r w:rsidR="0095180B">
        <w:rPr>
          <w:rFonts w:hint="eastAsia"/>
          <w:sz w:val="28"/>
          <w:szCs w:val="28"/>
        </w:rPr>
        <w:t>个</w:t>
      </w:r>
      <w:r>
        <w:rPr>
          <w:rFonts w:hint="eastAsia"/>
          <w:sz w:val="28"/>
          <w:szCs w:val="28"/>
        </w:rPr>
        <w:t>大中城市中，土地出让金收入最高的是杭州，达</w:t>
      </w:r>
      <w:r>
        <w:rPr>
          <w:rFonts w:hint="eastAsia"/>
          <w:sz w:val="28"/>
          <w:szCs w:val="28"/>
        </w:rPr>
        <w:t>1112.7</w:t>
      </w:r>
      <w:r>
        <w:rPr>
          <w:rFonts w:hint="eastAsia"/>
          <w:sz w:val="28"/>
          <w:szCs w:val="28"/>
        </w:rPr>
        <w:t>亿元，同比上涨</w:t>
      </w:r>
      <w:r>
        <w:rPr>
          <w:rFonts w:hint="eastAsia"/>
          <w:sz w:val="28"/>
          <w:szCs w:val="28"/>
        </w:rPr>
        <w:t>276%</w:t>
      </w:r>
      <w:r w:rsidR="0095180B">
        <w:rPr>
          <w:rFonts w:hint="eastAsia"/>
          <w:sz w:val="28"/>
          <w:szCs w:val="28"/>
        </w:rPr>
        <w:t>。由于大量</w:t>
      </w:r>
      <w:proofErr w:type="gramStart"/>
      <w:r w:rsidR="0095180B">
        <w:rPr>
          <w:rFonts w:hint="eastAsia"/>
          <w:sz w:val="28"/>
          <w:szCs w:val="28"/>
        </w:rPr>
        <w:t>房企进入</w:t>
      </w:r>
      <w:proofErr w:type="gramEnd"/>
      <w:r w:rsidR="0095180B">
        <w:rPr>
          <w:rFonts w:hint="eastAsia"/>
          <w:sz w:val="28"/>
          <w:szCs w:val="28"/>
        </w:rPr>
        <w:t>三、四线城市拿地，推动热点城市土地销售创历史记录，全国土地出让金最高的</w:t>
      </w:r>
      <w:r w:rsidR="0095180B">
        <w:rPr>
          <w:rFonts w:hint="eastAsia"/>
          <w:sz w:val="28"/>
          <w:szCs w:val="28"/>
        </w:rPr>
        <w:t>50</w:t>
      </w:r>
      <w:r w:rsidR="0095180B">
        <w:rPr>
          <w:rFonts w:hint="eastAsia"/>
          <w:sz w:val="28"/>
          <w:szCs w:val="28"/>
        </w:rPr>
        <w:t>个城市，</w:t>
      </w:r>
      <w:r w:rsidR="0095180B">
        <w:rPr>
          <w:rFonts w:hint="eastAsia"/>
          <w:sz w:val="28"/>
          <w:szCs w:val="28"/>
        </w:rPr>
        <w:t>4</w:t>
      </w:r>
      <w:r w:rsidR="0095180B">
        <w:rPr>
          <w:rFonts w:hint="eastAsia"/>
          <w:sz w:val="28"/>
          <w:szCs w:val="28"/>
        </w:rPr>
        <w:t>月单月的土地出让金</w:t>
      </w:r>
      <w:r w:rsidR="0095180B">
        <w:rPr>
          <w:rFonts w:hint="eastAsia"/>
          <w:sz w:val="28"/>
          <w:szCs w:val="28"/>
        </w:rPr>
        <w:t>2842</w:t>
      </w:r>
      <w:r w:rsidR="0095180B">
        <w:rPr>
          <w:rFonts w:hint="eastAsia"/>
          <w:sz w:val="28"/>
          <w:szCs w:val="28"/>
        </w:rPr>
        <w:t>亿元，同比上涨</w:t>
      </w:r>
      <w:r w:rsidR="0095180B">
        <w:rPr>
          <w:rFonts w:hint="eastAsia"/>
          <w:sz w:val="28"/>
          <w:szCs w:val="28"/>
        </w:rPr>
        <w:t>83.4%</w:t>
      </w:r>
      <w:r w:rsidR="0095180B">
        <w:rPr>
          <w:rFonts w:hint="eastAsia"/>
          <w:sz w:val="28"/>
          <w:szCs w:val="28"/>
        </w:rPr>
        <w:t>。</w:t>
      </w:r>
      <w:r w:rsidR="00DA7A73">
        <w:rPr>
          <w:rFonts w:hint="eastAsia"/>
          <w:sz w:val="28"/>
          <w:szCs w:val="28"/>
        </w:rPr>
        <w:t>业内人士普遍用“城市土地出让金</w:t>
      </w:r>
      <w:r w:rsidR="00DA7A73">
        <w:rPr>
          <w:rFonts w:hint="eastAsia"/>
          <w:sz w:val="28"/>
          <w:szCs w:val="28"/>
        </w:rPr>
        <w:t>/</w:t>
      </w:r>
      <w:r w:rsidR="00DA7A73">
        <w:rPr>
          <w:rFonts w:hint="eastAsia"/>
          <w:sz w:val="28"/>
          <w:szCs w:val="28"/>
        </w:rPr>
        <w:t>城市一般公共预算收入</w:t>
      </w:r>
      <w:r w:rsidR="00DA7A73" w:rsidRPr="00DA7A73">
        <w:rPr>
          <w:rFonts w:asciiTheme="minorEastAsia" w:hAnsiTheme="minorEastAsia" w:hint="eastAsia"/>
          <w:sz w:val="28"/>
          <w:szCs w:val="28"/>
        </w:rPr>
        <w:t>×</w:t>
      </w:r>
      <w:r w:rsidR="00DA7A73">
        <w:rPr>
          <w:rFonts w:asciiTheme="minorEastAsia" w:hAnsiTheme="minorEastAsia" w:hint="eastAsia"/>
          <w:sz w:val="28"/>
          <w:szCs w:val="28"/>
        </w:rPr>
        <w:t>100%”作为衡量地方土地财政依赖程度的指标。按此计算，2017年杭州为144%，南京为136%，郑州为106.7%，成都为99.3%</w:t>
      </w:r>
      <w:r w:rsidR="00440423">
        <w:rPr>
          <w:rFonts w:asciiTheme="minorEastAsia" w:hAnsiTheme="minorEastAsia" w:hint="eastAsia"/>
          <w:sz w:val="28"/>
          <w:szCs w:val="28"/>
        </w:rPr>
        <w:t>；今年1季度杭州也许更高</w:t>
      </w:r>
      <w:r w:rsidR="00DA7A73">
        <w:rPr>
          <w:rFonts w:asciiTheme="minorEastAsia" w:hAnsiTheme="minorEastAsia" w:hint="eastAsia"/>
          <w:sz w:val="28"/>
          <w:szCs w:val="28"/>
        </w:rPr>
        <w:t>。</w:t>
      </w:r>
      <w:r w:rsidR="004D5430">
        <w:rPr>
          <w:rFonts w:asciiTheme="minorEastAsia" w:hAnsiTheme="minorEastAsia" w:hint="eastAsia"/>
          <w:sz w:val="28"/>
          <w:szCs w:val="28"/>
        </w:rPr>
        <w:t>地方政府</w:t>
      </w:r>
      <w:r w:rsidR="00440423">
        <w:rPr>
          <w:rFonts w:asciiTheme="minorEastAsia" w:hAnsiTheme="minorEastAsia" w:hint="eastAsia"/>
          <w:sz w:val="28"/>
          <w:szCs w:val="28"/>
        </w:rPr>
        <w:t>垄断土地一级市场，</w:t>
      </w:r>
      <w:r w:rsidR="000C765C">
        <w:rPr>
          <w:rFonts w:asciiTheme="minorEastAsia" w:hAnsiTheme="minorEastAsia" w:hint="eastAsia"/>
          <w:sz w:val="28"/>
          <w:szCs w:val="28"/>
        </w:rPr>
        <w:t>一手低价从向农村集体征</w:t>
      </w:r>
      <w:r w:rsidR="0064687A">
        <w:rPr>
          <w:rFonts w:asciiTheme="minorEastAsia" w:hAnsiTheme="minorEastAsia" w:hint="eastAsia"/>
          <w:sz w:val="28"/>
          <w:szCs w:val="28"/>
        </w:rPr>
        <w:t>地，侵占农民的土地权利，一手向建设用地者供地，经营土地和经营城市。政府</w:t>
      </w:r>
      <w:r w:rsidR="004D5430">
        <w:rPr>
          <w:rFonts w:asciiTheme="minorEastAsia" w:hAnsiTheme="minorEastAsia" w:hint="eastAsia"/>
          <w:sz w:val="28"/>
          <w:szCs w:val="28"/>
        </w:rPr>
        <w:t>采取</w:t>
      </w:r>
      <w:proofErr w:type="gramStart"/>
      <w:r w:rsidR="004D5430">
        <w:rPr>
          <w:rFonts w:asciiTheme="minorEastAsia" w:hAnsiTheme="minorEastAsia" w:hint="eastAsia"/>
          <w:sz w:val="28"/>
          <w:szCs w:val="28"/>
        </w:rPr>
        <w:t>招拍挂</w:t>
      </w:r>
      <w:proofErr w:type="gramEnd"/>
      <w:r w:rsidR="004D5430">
        <w:rPr>
          <w:rFonts w:asciiTheme="minorEastAsia" w:hAnsiTheme="minorEastAsia" w:hint="eastAsia"/>
          <w:sz w:val="28"/>
          <w:szCs w:val="28"/>
        </w:rPr>
        <w:t>的方式有限供地，保持土地的卖方市场，以土地出让金来保证经济增长的资金供给和城市建设的资金平衡</w:t>
      </w:r>
      <w:r w:rsidR="00443630">
        <w:rPr>
          <w:rFonts w:asciiTheme="minorEastAsia" w:hAnsiTheme="minorEastAsia" w:hint="eastAsia"/>
          <w:sz w:val="28"/>
          <w:szCs w:val="28"/>
        </w:rPr>
        <w:t>，形成</w:t>
      </w:r>
      <w:r w:rsidR="00440423">
        <w:rPr>
          <w:rFonts w:asciiTheme="minorEastAsia" w:hAnsiTheme="minorEastAsia" w:hint="eastAsia"/>
          <w:sz w:val="28"/>
          <w:szCs w:val="28"/>
        </w:rPr>
        <w:t>了</w:t>
      </w:r>
      <w:r w:rsidR="00443630">
        <w:rPr>
          <w:rFonts w:asciiTheme="minorEastAsia" w:hAnsiTheme="minorEastAsia" w:hint="eastAsia"/>
          <w:sz w:val="28"/>
          <w:szCs w:val="28"/>
        </w:rPr>
        <w:t>一种绑在</w:t>
      </w:r>
      <w:r w:rsidR="004D5430">
        <w:rPr>
          <w:rFonts w:asciiTheme="minorEastAsia" w:hAnsiTheme="minorEastAsia" w:hint="eastAsia"/>
          <w:sz w:val="28"/>
          <w:szCs w:val="28"/>
        </w:rPr>
        <w:t>土地上的经济增长和城市发展</w:t>
      </w:r>
      <w:r w:rsidR="00443630">
        <w:rPr>
          <w:rFonts w:asciiTheme="minorEastAsia" w:hAnsiTheme="minorEastAsia" w:hint="eastAsia"/>
          <w:sz w:val="28"/>
          <w:szCs w:val="28"/>
        </w:rPr>
        <w:t>模式。这是难以持续的。</w:t>
      </w:r>
    </w:p>
    <w:p w:rsidR="00443630" w:rsidRDefault="00443630" w:rsidP="006E0EE8">
      <w:pPr>
        <w:ind w:firstLineChars="200" w:firstLine="560"/>
        <w:rPr>
          <w:rFonts w:asciiTheme="minorEastAsia" w:hAnsiTheme="minorEastAsia"/>
          <w:sz w:val="28"/>
          <w:szCs w:val="28"/>
        </w:rPr>
      </w:pPr>
      <w:r>
        <w:rPr>
          <w:rFonts w:asciiTheme="minorEastAsia" w:hAnsiTheme="minorEastAsia" w:hint="eastAsia"/>
          <w:sz w:val="28"/>
          <w:szCs w:val="28"/>
        </w:rPr>
        <w:t>再次，房地产发展背后的金融风险。</w:t>
      </w:r>
      <w:r w:rsidR="00440423">
        <w:rPr>
          <w:rFonts w:asciiTheme="minorEastAsia" w:hAnsiTheme="minorEastAsia" w:hint="eastAsia"/>
          <w:sz w:val="28"/>
          <w:szCs w:val="28"/>
        </w:rPr>
        <w:t>在现行体制下，</w:t>
      </w:r>
      <w:r w:rsidR="006D6F7B">
        <w:rPr>
          <w:rFonts w:asciiTheme="minorEastAsia" w:hAnsiTheme="minorEastAsia" w:hint="eastAsia"/>
          <w:sz w:val="28"/>
          <w:szCs w:val="28"/>
        </w:rPr>
        <w:t>房地产的发展不仅</w:t>
      </w:r>
      <w:r w:rsidR="00440423">
        <w:rPr>
          <w:rFonts w:asciiTheme="minorEastAsia" w:hAnsiTheme="minorEastAsia" w:hint="eastAsia"/>
          <w:sz w:val="28"/>
          <w:szCs w:val="28"/>
        </w:rPr>
        <w:t>催</w:t>
      </w:r>
      <w:r w:rsidR="006D6F7B">
        <w:rPr>
          <w:rFonts w:asciiTheme="minorEastAsia" w:hAnsiTheme="minorEastAsia" w:hint="eastAsia"/>
          <w:sz w:val="28"/>
          <w:szCs w:val="28"/>
        </w:rPr>
        <w:t>生了土地财政，而且发展了土地金融。</w:t>
      </w:r>
      <w:r w:rsidR="0064687A">
        <w:rPr>
          <w:rFonts w:asciiTheme="minorEastAsia" w:hAnsiTheme="minorEastAsia" w:hint="eastAsia"/>
          <w:sz w:val="28"/>
          <w:szCs w:val="28"/>
        </w:rPr>
        <w:t>这可以从两个方面来</w:t>
      </w:r>
      <w:r w:rsidR="000C765C">
        <w:rPr>
          <w:rFonts w:asciiTheme="minorEastAsia" w:hAnsiTheme="minorEastAsia" w:hint="eastAsia"/>
          <w:sz w:val="28"/>
          <w:szCs w:val="28"/>
        </w:rPr>
        <w:t>观察</w:t>
      </w:r>
      <w:r w:rsidR="0064687A">
        <w:rPr>
          <w:rFonts w:asciiTheme="minorEastAsia" w:hAnsiTheme="minorEastAsia" w:hint="eastAsia"/>
          <w:sz w:val="28"/>
          <w:szCs w:val="28"/>
        </w:rPr>
        <w:t>，从政府方面看，由于城市建设资金主要来自土地抵押融资，各地政府都成立了土地储备机构和政府性公司作为融资平台，</w:t>
      </w:r>
      <w:r w:rsidR="00B91117">
        <w:rPr>
          <w:rFonts w:asciiTheme="minorEastAsia" w:hAnsiTheme="minorEastAsia" w:hint="eastAsia"/>
          <w:sz w:val="28"/>
          <w:szCs w:val="28"/>
        </w:rPr>
        <w:t>一般情况是城市基础设施建设资金60%以上来自银行贷款，而政府融资平台贷</w:t>
      </w:r>
      <w:r w:rsidR="00B91117">
        <w:rPr>
          <w:rFonts w:asciiTheme="minorEastAsia" w:hAnsiTheme="minorEastAsia" w:hint="eastAsia"/>
          <w:sz w:val="28"/>
          <w:szCs w:val="28"/>
        </w:rPr>
        <w:lastRenderedPageBreak/>
        <w:t>款中土地抵押融资占60%以上；且随着土地出让金的增加和土地储备的增多，城市范围的扩展和城市建设的加快，土地抵押融资的数量也会增加。前述那些土地财政依赖程度高的城市，也是土地抵押融资占比大的城市。不仅如此，</w:t>
      </w:r>
      <w:r w:rsidR="006807C0">
        <w:rPr>
          <w:rFonts w:asciiTheme="minorEastAsia" w:hAnsiTheme="minorEastAsia" w:hint="eastAsia"/>
          <w:sz w:val="28"/>
          <w:szCs w:val="28"/>
        </w:rPr>
        <w:t>这种情况也会随着开发商拿地向三、四线城市的扩展。这样一来，地方政府的财政风险也就转化为全国的金融风险。二是开发商的融资和贷款。</w:t>
      </w:r>
      <w:r w:rsidR="00B064EA">
        <w:rPr>
          <w:rFonts w:asciiTheme="minorEastAsia" w:hAnsiTheme="minorEastAsia" w:hint="eastAsia"/>
          <w:sz w:val="28"/>
          <w:szCs w:val="28"/>
        </w:rPr>
        <w:t>开发商的资金来源有销售回款、股权融资</w:t>
      </w:r>
      <w:r w:rsidR="000C765C">
        <w:rPr>
          <w:rFonts w:asciiTheme="minorEastAsia" w:hAnsiTheme="minorEastAsia" w:hint="eastAsia"/>
          <w:sz w:val="28"/>
          <w:szCs w:val="28"/>
        </w:rPr>
        <w:t>、</w:t>
      </w:r>
      <w:r w:rsidR="00B064EA">
        <w:rPr>
          <w:rFonts w:asciiTheme="minorEastAsia" w:hAnsiTheme="minorEastAsia" w:hint="eastAsia"/>
          <w:sz w:val="28"/>
          <w:szCs w:val="28"/>
        </w:rPr>
        <w:t>银行贷款和发行债券，销售回款取决于市场状况，股权融资的比例不大，银行贷款和发行债券是重要渠道。由于金融去杠杆和防风险，大型</w:t>
      </w:r>
      <w:proofErr w:type="gramStart"/>
      <w:r w:rsidR="00B064EA">
        <w:rPr>
          <w:rFonts w:asciiTheme="minorEastAsia" w:hAnsiTheme="minorEastAsia" w:hint="eastAsia"/>
          <w:sz w:val="28"/>
          <w:szCs w:val="28"/>
        </w:rPr>
        <w:t>房企业</w:t>
      </w:r>
      <w:proofErr w:type="gramEnd"/>
      <w:r w:rsidR="00B064EA">
        <w:rPr>
          <w:rFonts w:asciiTheme="minorEastAsia" w:hAnsiTheme="minorEastAsia" w:hint="eastAsia"/>
          <w:sz w:val="28"/>
          <w:szCs w:val="28"/>
        </w:rPr>
        <w:t>还能从银行取得贷款和发行债券，中小房</w:t>
      </w:r>
      <w:proofErr w:type="gramStart"/>
      <w:r w:rsidR="00B064EA">
        <w:rPr>
          <w:rFonts w:asciiTheme="minorEastAsia" w:hAnsiTheme="minorEastAsia" w:hint="eastAsia"/>
          <w:sz w:val="28"/>
          <w:szCs w:val="28"/>
        </w:rPr>
        <w:t>企很难</w:t>
      </w:r>
      <w:proofErr w:type="gramEnd"/>
      <w:r w:rsidR="00B064EA">
        <w:rPr>
          <w:rFonts w:asciiTheme="minorEastAsia" w:hAnsiTheme="minorEastAsia" w:hint="eastAsia"/>
          <w:sz w:val="28"/>
          <w:szCs w:val="28"/>
        </w:rPr>
        <w:t>从四大行取得贷款，</w:t>
      </w:r>
      <w:r w:rsidR="005A4A8E">
        <w:rPr>
          <w:rFonts w:asciiTheme="minorEastAsia" w:hAnsiTheme="minorEastAsia" w:hint="eastAsia"/>
          <w:sz w:val="28"/>
          <w:szCs w:val="28"/>
        </w:rPr>
        <w:t>只能寻找利率更高的商业银行，且融资成本差别很大。如万科6月29日发行了一笔20亿元超短期融资</w:t>
      </w:r>
      <w:proofErr w:type="gramStart"/>
      <w:r w:rsidR="005A4A8E">
        <w:rPr>
          <w:rFonts w:asciiTheme="minorEastAsia" w:hAnsiTheme="minorEastAsia" w:hint="eastAsia"/>
          <w:sz w:val="28"/>
          <w:szCs w:val="28"/>
        </w:rPr>
        <w:t>券</w:t>
      </w:r>
      <w:proofErr w:type="gramEnd"/>
      <w:r w:rsidR="005A4A8E">
        <w:rPr>
          <w:rFonts w:asciiTheme="minorEastAsia" w:hAnsiTheme="minorEastAsia" w:hint="eastAsia"/>
          <w:sz w:val="28"/>
          <w:szCs w:val="28"/>
        </w:rPr>
        <w:t>，利率为4.25%，而荣</w:t>
      </w:r>
      <w:proofErr w:type="gramStart"/>
      <w:r w:rsidR="005A4A8E">
        <w:rPr>
          <w:rFonts w:asciiTheme="minorEastAsia" w:hAnsiTheme="minorEastAsia" w:hint="eastAsia"/>
          <w:sz w:val="28"/>
          <w:szCs w:val="28"/>
        </w:rPr>
        <w:t>盛发展</w:t>
      </w:r>
      <w:proofErr w:type="gramEnd"/>
      <w:r w:rsidR="005A4A8E">
        <w:rPr>
          <w:rFonts w:asciiTheme="minorEastAsia" w:hAnsiTheme="minorEastAsia" w:hint="eastAsia"/>
          <w:sz w:val="28"/>
          <w:szCs w:val="28"/>
        </w:rPr>
        <w:t>于5月份发行的2018年第三期非公开定向债务融资工具，利率高达7.3%</w:t>
      </w:r>
      <w:r w:rsidR="007369BE">
        <w:rPr>
          <w:rFonts w:asciiTheme="minorEastAsia" w:hAnsiTheme="minorEastAsia" w:hint="eastAsia"/>
          <w:sz w:val="28"/>
          <w:szCs w:val="28"/>
        </w:rPr>
        <w:t>。目前，</w:t>
      </w:r>
      <w:proofErr w:type="gramStart"/>
      <w:r w:rsidR="007369BE">
        <w:rPr>
          <w:rFonts w:asciiTheme="minorEastAsia" w:hAnsiTheme="minorEastAsia" w:hint="eastAsia"/>
          <w:sz w:val="28"/>
          <w:szCs w:val="28"/>
        </w:rPr>
        <w:t>中小型房企</w:t>
      </w:r>
      <w:r w:rsidR="005A4A8E">
        <w:rPr>
          <w:rFonts w:asciiTheme="minorEastAsia" w:hAnsiTheme="minorEastAsia" w:hint="eastAsia"/>
          <w:sz w:val="28"/>
          <w:szCs w:val="28"/>
        </w:rPr>
        <w:t>的</w:t>
      </w:r>
      <w:proofErr w:type="gramEnd"/>
      <w:r w:rsidR="005A4A8E">
        <w:rPr>
          <w:rFonts w:asciiTheme="minorEastAsia" w:hAnsiTheme="minorEastAsia" w:hint="eastAsia"/>
          <w:sz w:val="28"/>
          <w:szCs w:val="28"/>
        </w:rPr>
        <w:t>融资成本已高达12-15%，而</w:t>
      </w:r>
      <w:proofErr w:type="gramStart"/>
      <w:r w:rsidR="005A4A8E">
        <w:rPr>
          <w:rFonts w:asciiTheme="minorEastAsia" w:hAnsiTheme="minorEastAsia" w:hint="eastAsia"/>
          <w:sz w:val="28"/>
          <w:szCs w:val="28"/>
        </w:rPr>
        <w:t>大型房企基本上</w:t>
      </w:r>
      <w:proofErr w:type="gramEnd"/>
      <w:r w:rsidR="005A4A8E">
        <w:rPr>
          <w:rFonts w:asciiTheme="minorEastAsia" w:hAnsiTheme="minorEastAsia" w:hint="eastAsia"/>
          <w:sz w:val="28"/>
          <w:szCs w:val="28"/>
        </w:rPr>
        <w:t>在8-10%之间。据海通证券统计，2016年</w:t>
      </w:r>
      <w:proofErr w:type="gramStart"/>
      <w:r w:rsidR="005A4A8E">
        <w:rPr>
          <w:rFonts w:asciiTheme="minorEastAsia" w:hAnsiTheme="minorEastAsia" w:hint="eastAsia"/>
          <w:sz w:val="28"/>
          <w:szCs w:val="28"/>
        </w:rPr>
        <w:t>为房企债务</w:t>
      </w:r>
      <w:proofErr w:type="gramEnd"/>
      <w:r w:rsidR="005A4A8E">
        <w:rPr>
          <w:rFonts w:asciiTheme="minorEastAsia" w:hAnsiTheme="minorEastAsia" w:hint="eastAsia"/>
          <w:sz w:val="28"/>
          <w:szCs w:val="28"/>
        </w:rPr>
        <w:t>融资高峰期，该年共发行870只债券，总发行量高达8316亿元，且多为3+2、2+1年的还本付息期限结构，</w:t>
      </w:r>
      <w:r w:rsidR="00D15402">
        <w:rPr>
          <w:rFonts w:asciiTheme="minorEastAsia" w:hAnsiTheme="minorEastAsia" w:hint="eastAsia"/>
          <w:sz w:val="28"/>
          <w:szCs w:val="28"/>
        </w:rPr>
        <w:t>这就意味着2018年开始进入集中到期。一方面监管趋严，今年以来</w:t>
      </w:r>
      <w:proofErr w:type="gramStart"/>
      <w:r w:rsidR="00D15402">
        <w:rPr>
          <w:rFonts w:asciiTheme="minorEastAsia" w:hAnsiTheme="minorEastAsia" w:hint="eastAsia"/>
          <w:sz w:val="28"/>
          <w:szCs w:val="28"/>
        </w:rPr>
        <w:t>不少房企的公司债被中止</w:t>
      </w:r>
      <w:proofErr w:type="gramEnd"/>
      <w:r w:rsidR="00D15402">
        <w:rPr>
          <w:rFonts w:asciiTheme="minorEastAsia" w:hAnsiTheme="minorEastAsia" w:hint="eastAsia"/>
          <w:sz w:val="28"/>
          <w:szCs w:val="28"/>
        </w:rPr>
        <w:t>，如合生创展31亿元私募债、富力地产60亿元私募债、碧</w:t>
      </w:r>
      <w:proofErr w:type="gramStart"/>
      <w:r w:rsidR="00D15402">
        <w:rPr>
          <w:rFonts w:asciiTheme="minorEastAsia" w:hAnsiTheme="minorEastAsia" w:hint="eastAsia"/>
          <w:sz w:val="28"/>
          <w:szCs w:val="28"/>
        </w:rPr>
        <w:t>桂园</w:t>
      </w:r>
      <w:proofErr w:type="gramEnd"/>
      <w:r w:rsidR="00D15402">
        <w:rPr>
          <w:rFonts w:asciiTheme="minorEastAsia" w:hAnsiTheme="minorEastAsia" w:hint="eastAsia"/>
          <w:sz w:val="28"/>
          <w:szCs w:val="28"/>
        </w:rPr>
        <w:t>200亿元小公募、花样年50亿元私募、</w:t>
      </w:r>
      <w:r w:rsidR="009771C3">
        <w:rPr>
          <w:rFonts w:asciiTheme="minorEastAsia" w:hAnsiTheme="minorEastAsia" w:hint="eastAsia"/>
          <w:sz w:val="28"/>
          <w:szCs w:val="28"/>
        </w:rPr>
        <w:t>北京金融街投资有限价公司50亿元小公</w:t>
      </w:r>
      <w:proofErr w:type="gramStart"/>
      <w:r w:rsidR="009771C3">
        <w:rPr>
          <w:rFonts w:asciiTheme="minorEastAsia" w:hAnsiTheme="minorEastAsia" w:hint="eastAsia"/>
          <w:sz w:val="28"/>
          <w:szCs w:val="28"/>
        </w:rPr>
        <w:t>募</w:t>
      </w:r>
      <w:proofErr w:type="gramEnd"/>
      <w:r w:rsidR="009771C3">
        <w:rPr>
          <w:rFonts w:asciiTheme="minorEastAsia" w:hAnsiTheme="minorEastAsia" w:hint="eastAsia"/>
          <w:sz w:val="28"/>
          <w:szCs w:val="28"/>
        </w:rPr>
        <w:t>。另一方面债务危机也浮出水面。据Wind的数据统计，2017年136家</w:t>
      </w:r>
      <w:proofErr w:type="gramStart"/>
      <w:r w:rsidR="009771C3">
        <w:rPr>
          <w:rFonts w:asciiTheme="minorEastAsia" w:hAnsiTheme="minorEastAsia" w:hint="eastAsia"/>
          <w:sz w:val="28"/>
          <w:szCs w:val="28"/>
        </w:rPr>
        <w:t>上市房企年报</w:t>
      </w:r>
      <w:proofErr w:type="gramEnd"/>
      <w:r w:rsidR="009771C3">
        <w:rPr>
          <w:rFonts w:asciiTheme="minorEastAsia" w:hAnsiTheme="minorEastAsia" w:hint="eastAsia"/>
          <w:sz w:val="28"/>
          <w:szCs w:val="28"/>
        </w:rPr>
        <w:t>发现，平均负债率已达79.1%，为13年以来的高位，与此同时，发债成本也从上年的4-5%上升到5%甚至6%以上。</w:t>
      </w:r>
      <w:proofErr w:type="gramStart"/>
      <w:r w:rsidR="00007D00">
        <w:rPr>
          <w:rFonts w:asciiTheme="minorEastAsia" w:hAnsiTheme="minorEastAsia" w:hint="eastAsia"/>
          <w:sz w:val="28"/>
          <w:szCs w:val="28"/>
        </w:rPr>
        <w:t>像中弘</w:t>
      </w:r>
      <w:r w:rsidR="00007D00">
        <w:rPr>
          <w:rFonts w:asciiTheme="minorEastAsia" w:hAnsiTheme="minorEastAsia" w:hint="eastAsia"/>
          <w:sz w:val="28"/>
          <w:szCs w:val="28"/>
        </w:rPr>
        <w:lastRenderedPageBreak/>
        <w:t>股份</w:t>
      </w:r>
      <w:proofErr w:type="gramEnd"/>
      <w:r w:rsidR="00007D00">
        <w:rPr>
          <w:rFonts w:asciiTheme="minorEastAsia" w:hAnsiTheme="minorEastAsia" w:hint="eastAsia"/>
          <w:sz w:val="28"/>
          <w:szCs w:val="28"/>
        </w:rPr>
        <w:t>、云房集团持股51%的京鹏地产，面临着债务违约的风险。不仅如此，由于国内市场收紧，</w:t>
      </w:r>
      <w:proofErr w:type="gramStart"/>
      <w:r w:rsidR="00007D00">
        <w:rPr>
          <w:rFonts w:asciiTheme="minorEastAsia" w:hAnsiTheme="minorEastAsia" w:hint="eastAsia"/>
          <w:sz w:val="28"/>
          <w:szCs w:val="28"/>
        </w:rPr>
        <w:t>不少房企借道</w:t>
      </w:r>
      <w:proofErr w:type="gramEnd"/>
      <w:r w:rsidR="00007D00">
        <w:rPr>
          <w:rFonts w:asciiTheme="minorEastAsia" w:hAnsiTheme="minorEastAsia" w:hint="eastAsia"/>
          <w:sz w:val="28"/>
          <w:szCs w:val="28"/>
        </w:rPr>
        <w:t>海外融资，4月份海外融资折合人民币376.12亿元，比上月增加了将近1倍。据Wind的金融数据显示，</w:t>
      </w:r>
      <w:r w:rsidR="000A1661">
        <w:rPr>
          <w:rFonts w:asciiTheme="minorEastAsia" w:hAnsiTheme="minorEastAsia" w:hint="eastAsia"/>
          <w:sz w:val="28"/>
          <w:szCs w:val="28"/>
        </w:rPr>
        <w:t>今年下半年，中国</w:t>
      </w:r>
      <w:proofErr w:type="gramStart"/>
      <w:r w:rsidR="000A1661">
        <w:rPr>
          <w:rFonts w:asciiTheme="minorEastAsia" w:hAnsiTheme="minorEastAsia" w:hint="eastAsia"/>
          <w:sz w:val="28"/>
          <w:szCs w:val="28"/>
        </w:rPr>
        <w:t>房企海外</w:t>
      </w:r>
      <w:proofErr w:type="gramEnd"/>
      <w:r w:rsidR="000A1661">
        <w:rPr>
          <w:rFonts w:asciiTheme="minorEastAsia" w:hAnsiTheme="minorEastAsia" w:hint="eastAsia"/>
          <w:sz w:val="28"/>
          <w:szCs w:val="28"/>
        </w:rPr>
        <w:t>融资债券到期规模564.75亿元，明年1436.95亿元。4月19日，外管</w:t>
      </w:r>
      <w:r w:rsidR="000C765C">
        <w:rPr>
          <w:rFonts w:asciiTheme="minorEastAsia" w:hAnsiTheme="minorEastAsia" w:hint="eastAsia"/>
          <w:sz w:val="28"/>
          <w:szCs w:val="28"/>
        </w:rPr>
        <w:t>局</w:t>
      </w:r>
      <w:r w:rsidR="00B501F4">
        <w:rPr>
          <w:rFonts w:asciiTheme="minorEastAsia" w:hAnsiTheme="minorEastAsia" w:hint="eastAsia"/>
          <w:sz w:val="28"/>
          <w:szCs w:val="28"/>
        </w:rPr>
        <w:t>公开表示</w:t>
      </w:r>
      <w:r w:rsidR="000A1661">
        <w:rPr>
          <w:rFonts w:asciiTheme="minorEastAsia" w:hAnsiTheme="minorEastAsia" w:hint="eastAsia"/>
          <w:sz w:val="28"/>
          <w:szCs w:val="28"/>
        </w:rPr>
        <w:t>，</w:t>
      </w:r>
      <w:proofErr w:type="gramStart"/>
      <w:r w:rsidR="000A1661">
        <w:rPr>
          <w:rFonts w:asciiTheme="minorEastAsia" w:hAnsiTheme="minorEastAsia" w:hint="eastAsia"/>
          <w:sz w:val="28"/>
          <w:szCs w:val="28"/>
        </w:rPr>
        <w:t>对房企</w:t>
      </w:r>
      <w:r w:rsidR="00B501F4">
        <w:rPr>
          <w:rFonts w:asciiTheme="minorEastAsia" w:hAnsiTheme="minorEastAsia" w:hint="eastAsia"/>
          <w:sz w:val="28"/>
          <w:szCs w:val="28"/>
        </w:rPr>
        <w:t>举</w:t>
      </w:r>
      <w:r w:rsidR="000A1661">
        <w:rPr>
          <w:rFonts w:asciiTheme="minorEastAsia" w:hAnsiTheme="minorEastAsia" w:hint="eastAsia"/>
          <w:sz w:val="28"/>
          <w:szCs w:val="28"/>
        </w:rPr>
        <w:t>借</w:t>
      </w:r>
      <w:proofErr w:type="gramEnd"/>
      <w:r w:rsidR="000A1661">
        <w:rPr>
          <w:rFonts w:asciiTheme="minorEastAsia" w:hAnsiTheme="minorEastAsia" w:hint="eastAsia"/>
          <w:sz w:val="28"/>
          <w:szCs w:val="28"/>
        </w:rPr>
        <w:t>外债持审慎态度，除有特殊规定外，不得</w:t>
      </w:r>
      <w:r w:rsidR="000C765C">
        <w:rPr>
          <w:rFonts w:asciiTheme="minorEastAsia" w:hAnsiTheme="minorEastAsia" w:hint="eastAsia"/>
          <w:sz w:val="28"/>
          <w:szCs w:val="28"/>
        </w:rPr>
        <w:t>借</w:t>
      </w:r>
      <w:r w:rsidR="000A1661">
        <w:rPr>
          <w:rFonts w:asciiTheme="minorEastAsia" w:hAnsiTheme="minorEastAsia" w:hint="eastAsia"/>
          <w:sz w:val="28"/>
          <w:szCs w:val="28"/>
        </w:rPr>
        <w:t>用外债。</w:t>
      </w:r>
      <w:r w:rsidR="00B501F4">
        <w:rPr>
          <w:rFonts w:asciiTheme="minorEastAsia" w:hAnsiTheme="minorEastAsia" w:hint="eastAsia"/>
          <w:sz w:val="28"/>
          <w:szCs w:val="28"/>
        </w:rPr>
        <w:t>近日，</w:t>
      </w:r>
      <w:proofErr w:type="gramStart"/>
      <w:r w:rsidR="00B501F4">
        <w:rPr>
          <w:rFonts w:asciiTheme="minorEastAsia" w:hAnsiTheme="minorEastAsia" w:hint="eastAsia"/>
          <w:sz w:val="28"/>
          <w:szCs w:val="28"/>
        </w:rPr>
        <w:t>发改委</w:t>
      </w:r>
      <w:proofErr w:type="gramEnd"/>
      <w:r w:rsidR="00B501F4">
        <w:rPr>
          <w:rFonts w:asciiTheme="minorEastAsia" w:hAnsiTheme="minorEastAsia" w:hint="eastAsia"/>
          <w:sz w:val="28"/>
          <w:szCs w:val="28"/>
        </w:rPr>
        <w:t>也发文</w:t>
      </w:r>
      <w:proofErr w:type="gramStart"/>
      <w:r w:rsidR="00B501F4">
        <w:rPr>
          <w:rFonts w:asciiTheme="minorEastAsia" w:hAnsiTheme="minorEastAsia" w:hint="eastAsia"/>
          <w:sz w:val="28"/>
          <w:szCs w:val="28"/>
        </w:rPr>
        <w:t>严控房企</w:t>
      </w:r>
      <w:proofErr w:type="gramEnd"/>
      <w:r w:rsidR="00B501F4">
        <w:rPr>
          <w:rFonts w:asciiTheme="minorEastAsia" w:hAnsiTheme="minorEastAsia" w:hint="eastAsia"/>
          <w:sz w:val="28"/>
          <w:szCs w:val="28"/>
        </w:rPr>
        <w:t>外债。</w:t>
      </w:r>
    </w:p>
    <w:p w:rsidR="00B501F4" w:rsidRDefault="00B501F4" w:rsidP="006E0EE8">
      <w:pPr>
        <w:ind w:firstLineChars="200" w:firstLine="560"/>
        <w:rPr>
          <w:rFonts w:asciiTheme="minorEastAsia" w:hAnsiTheme="minorEastAsia"/>
          <w:sz w:val="28"/>
          <w:szCs w:val="28"/>
        </w:rPr>
      </w:pPr>
    </w:p>
    <w:p w:rsidR="00B501F4" w:rsidRDefault="00571D04" w:rsidP="00B501F4">
      <w:pPr>
        <w:pStyle w:val="a5"/>
        <w:numPr>
          <w:ilvl w:val="0"/>
          <w:numId w:val="1"/>
        </w:numPr>
        <w:ind w:firstLineChars="0"/>
        <w:rPr>
          <w:rFonts w:asciiTheme="minorEastAsia" w:hAnsiTheme="minorEastAsia"/>
          <w:sz w:val="28"/>
          <w:szCs w:val="28"/>
        </w:rPr>
      </w:pPr>
      <w:r>
        <w:rPr>
          <w:rFonts w:asciiTheme="minorEastAsia" w:hAnsiTheme="minorEastAsia" w:hint="eastAsia"/>
          <w:sz w:val="28"/>
          <w:szCs w:val="28"/>
        </w:rPr>
        <w:t>蓝天保卫战和</w:t>
      </w:r>
      <w:r w:rsidR="00B501F4" w:rsidRPr="00B501F4">
        <w:rPr>
          <w:rFonts w:asciiTheme="minorEastAsia" w:hAnsiTheme="minorEastAsia" w:hint="eastAsia"/>
          <w:sz w:val="28"/>
          <w:szCs w:val="28"/>
        </w:rPr>
        <w:t>环境督察</w:t>
      </w:r>
    </w:p>
    <w:p w:rsidR="00571D04" w:rsidRPr="00571D04" w:rsidRDefault="00571D04" w:rsidP="00571D04">
      <w:pPr>
        <w:rPr>
          <w:rFonts w:asciiTheme="minorEastAsia" w:hAnsiTheme="minorEastAsia"/>
          <w:sz w:val="28"/>
          <w:szCs w:val="28"/>
        </w:rPr>
      </w:pPr>
    </w:p>
    <w:p w:rsidR="00F85C2D" w:rsidRDefault="00F14520" w:rsidP="003B70F1">
      <w:pPr>
        <w:ind w:firstLineChars="200" w:firstLine="560"/>
        <w:rPr>
          <w:sz w:val="28"/>
          <w:szCs w:val="28"/>
        </w:rPr>
      </w:pPr>
      <w:r>
        <w:rPr>
          <w:rFonts w:hint="eastAsia"/>
          <w:sz w:val="28"/>
          <w:szCs w:val="28"/>
        </w:rPr>
        <w:t>这是本季度发生的重大事件。</w:t>
      </w:r>
      <w:r w:rsidR="003B70F1" w:rsidRPr="003B70F1">
        <w:rPr>
          <w:rFonts w:hint="eastAsia"/>
          <w:sz w:val="28"/>
          <w:szCs w:val="28"/>
        </w:rPr>
        <w:t>6</w:t>
      </w:r>
      <w:r w:rsidR="003B70F1" w:rsidRPr="003B70F1">
        <w:rPr>
          <w:rFonts w:hint="eastAsia"/>
          <w:sz w:val="28"/>
          <w:szCs w:val="28"/>
        </w:rPr>
        <w:t>月</w:t>
      </w:r>
      <w:r w:rsidR="003B70F1" w:rsidRPr="003B70F1">
        <w:rPr>
          <w:rFonts w:hint="eastAsia"/>
          <w:sz w:val="28"/>
          <w:szCs w:val="28"/>
        </w:rPr>
        <w:t>16</w:t>
      </w:r>
      <w:r w:rsidR="003B70F1" w:rsidRPr="003B70F1">
        <w:rPr>
          <w:rFonts w:hint="eastAsia"/>
          <w:sz w:val="28"/>
          <w:szCs w:val="28"/>
        </w:rPr>
        <w:t>日，中共中央和国务院发布《关于全面加强环境保护坚决打好污染防治攻坚战的意见》</w:t>
      </w:r>
      <w:r w:rsidR="00440ECF">
        <w:rPr>
          <w:rFonts w:hint="eastAsia"/>
          <w:sz w:val="28"/>
          <w:szCs w:val="28"/>
        </w:rPr>
        <w:t>，提出了到</w:t>
      </w:r>
      <w:r w:rsidR="00440ECF">
        <w:rPr>
          <w:rFonts w:hint="eastAsia"/>
          <w:sz w:val="28"/>
          <w:szCs w:val="28"/>
        </w:rPr>
        <w:t>2020</w:t>
      </w:r>
      <w:r w:rsidR="00440ECF">
        <w:rPr>
          <w:rFonts w:hint="eastAsia"/>
          <w:sz w:val="28"/>
          <w:szCs w:val="28"/>
        </w:rPr>
        <w:t>年环境保护和污染治理的总体目标和基本原则，确定了坚决打赢蓝天保卫战、着力打好碧水保卫战和扎实推进净土保卫战的三大战役，加快生态保护和修复</w:t>
      </w:r>
      <w:r>
        <w:rPr>
          <w:rFonts w:hint="eastAsia"/>
          <w:sz w:val="28"/>
          <w:szCs w:val="28"/>
        </w:rPr>
        <w:t>，</w:t>
      </w:r>
      <w:r w:rsidR="00440ECF">
        <w:rPr>
          <w:rFonts w:hint="eastAsia"/>
          <w:sz w:val="28"/>
          <w:szCs w:val="28"/>
        </w:rPr>
        <w:t>吹响了建设美丽中国的进军号。《意见》对我国生态文明建设和环境保护面临的困难和挑战有明确界定，“</w:t>
      </w:r>
      <w:r w:rsidR="00F21C71">
        <w:rPr>
          <w:rFonts w:hint="eastAsia"/>
          <w:sz w:val="28"/>
          <w:szCs w:val="28"/>
        </w:rPr>
        <w:t>一些地方和部门对生态环境保护认</w:t>
      </w:r>
      <w:r>
        <w:rPr>
          <w:rFonts w:hint="eastAsia"/>
          <w:sz w:val="28"/>
          <w:szCs w:val="28"/>
        </w:rPr>
        <w:t>识不到位，责任落实不到位；经济社会发展同生态环境保护的矛盾仍然突</w:t>
      </w:r>
      <w:r w:rsidR="00F21C71">
        <w:rPr>
          <w:rFonts w:hint="eastAsia"/>
          <w:sz w:val="28"/>
          <w:szCs w:val="28"/>
        </w:rPr>
        <w:t>出，资源环境承载能力已经达到或接近上限；城乡区域统筹不够，新老环境问题交织，区域性、布局性、结构性环境风险突显，重污染天气、黑臭水体、垃圾围城、生态破坏等问题时有发生。这些问题，成为重要的民生之患，民心之痛，成为经济社会发展瓶颈制约，成为全面建设小康社会的明显短板”。</w:t>
      </w:r>
    </w:p>
    <w:p w:rsidR="00004915" w:rsidRDefault="00004915" w:rsidP="003B70F1">
      <w:pPr>
        <w:ind w:firstLineChars="200" w:firstLine="560"/>
        <w:rPr>
          <w:sz w:val="28"/>
          <w:szCs w:val="28"/>
        </w:rPr>
      </w:pPr>
      <w:r>
        <w:rPr>
          <w:rFonts w:hint="eastAsia"/>
          <w:sz w:val="28"/>
          <w:szCs w:val="28"/>
        </w:rPr>
        <w:lastRenderedPageBreak/>
        <w:t>根据前不久生态环境部通报的《大气十条》实施情况终期考核结果，</w:t>
      </w:r>
      <w:r>
        <w:rPr>
          <w:rFonts w:hint="eastAsia"/>
          <w:sz w:val="28"/>
          <w:szCs w:val="28"/>
        </w:rPr>
        <w:t>2017</w:t>
      </w:r>
      <w:r>
        <w:rPr>
          <w:rFonts w:hint="eastAsia"/>
          <w:sz w:val="28"/>
          <w:szCs w:val="28"/>
        </w:rPr>
        <w:t>年</w:t>
      </w:r>
      <w:r w:rsidR="00741F06">
        <w:rPr>
          <w:rFonts w:hint="eastAsia"/>
          <w:sz w:val="28"/>
          <w:szCs w:val="28"/>
        </w:rPr>
        <w:t>，</w:t>
      </w:r>
      <w:r>
        <w:rPr>
          <w:rFonts w:hint="eastAsia"/>
          <w:sz w:val="28"/>
          <w:szCs w:val="28"/>
        </w:rPr>
        <w:t>全国地级以上城市可吸入颗粒物（</w:t>
      </w:r>
      <w:r>
        <w:rPr>
          <w:rFonts w:hint="eastAsia"/>
          <w:sz w:val="28"/>
          <w:szCs w:val="28"/>
        </w:rPr>
        <w:t>PM10</w:t>
      </w:r>
      <w:r>
        <w:rPr>
          <w:rFonts w:hint="eastAsia"/>
          <w:sz w:val="28"/>
          <w:szCs w:val="28"/>
        </w:rPr>
        <w:t>）平均浓度比</w:t>
      </w:r>
      <w:r>
        <w:rPr>
          <w:rFonts w:hint="eastAsia"/>
          <w:sz w:val="28"/>
          <w:szCs w:val="28"/>
        </w:rPr>
        <w:t>2013</w:t>
      </w:r>
      <w:r>
        <w:rPr>
          <w:rFonts w:hint="eastAsia"/>
          <w:sz w:val="28"/>
          <w:szCs w:val="28"/>
        </w:rPr>
        <w:t>年下降</w:t>
      </w:r>
      <w:r>
        <w:rPr>
          <w:rFonts w:hint="eastAsia"/>
          <w:sz w:val="28"/>
          <w:szCs w:val="28"/>
        </w:rPr>
        <w:t>22.5%</w:t>
      </w:r>
      <w:r>
        <w:rPr>
          <w:rFonts w:hint="eastAsia"/>
          <w:sz w:val="28"/>
          <w:szCs w:val="28"/>
        </w:rPr>
        <w:t>，</w:t>
      </w:r>
      <w:r w:rsidR="00CF5B47">
        <w:rPr>
          <w:rFonts w:hint="eastAsia"/>
          <w:sz w:val="28"/>
          <w:szCs w:val="28"/>
        </w:rPr>
        <w:t>京津冀、长三角、珠三角等重点区域细颗粒物（</w:t>
      </w:r>
      <w:r w:rsidR="00CF5B47">
        <w:rPr>
          <w:rFonts w:hint="eastAsia"/>
          <w:sz w:val="28"/>
          <w:szCs w:val="28"/>
        </w:rPr>
        <w:t>PM2.5</w:t>
      </w:r>
      <w:r w:rsidR="00CF5B47">
        <w:rPr>
          <w:rFonts w:hint="eastAsia"/>
          <w:sz w:val="28"/>
          <w:szCs w:val="28"/>
        </w:rPr>
        <w:t>）平均浓度分别下降</w:t>
      </w:r>
      <w:r w:rsidR="00CF5B47">
        <w:rPr>
          <w:rFonts w:hint="eastAsia"/>
          <w:sz w:val="28"/>
          <w:szCs w:val="28"/>
        </w:rPr>
        <w:t>39.6%</w:t>
      </w:r>
      <w:r w:rsidR="00CF5B47">
        <w:rPr>
          <w:rFonts w:hint="eastAsia"/>
          <w:sz w:val="28"/>
          <w:szCs w:val="28"/>
        </w:rPr>
        <w:t>、</w:t>
      </w:r>
      <w:r w:rsidR="00CF5B47">
        <w:rPr>
          <w:rFonts w:hint="eastAsia"/>
          <w:sz w:val="28"/>
          <w:szCs w:val="28"/>
        </w:rPr>
        <w:t>34.3%</w:t>
      </w:r>
      <w:r w:rsidR="00CF5B47">
        <w:rPr>
          <w:rFonts w:hint="eastAsia"/>
          <w:sz w:val="28"/>
          <w:szCs w:val="28"/>
        </w:rPr>
        <w:t>和</w:t>
      </w:r>
      <w:r w:rsidR="00CF5B47">
        <w:rPr>
          <w:rFonts w:hint="eastAsia"/>
          <w:sz w:val="28"/>
          <w:szCs w:val="28"/>
        </w:rPr>
        <w:t>27.7%</w:t>
      </w:r>
      <w:r w:rsidR="00CF5B47">
        <w:rPr>
          <w:rFonts w:hint="eastAsia"/>
          <w:sz w:val="28"/>
          <w:szCs w:val="28"/>
        </w:rPr>
        <w:t>，北京的</w:t>
      </w:r>
      <w:r w:rsidR="00CF5B47">
        <w:rPr>
          <w:rFonts w:hint="eastAsia"/>
          <w:sz w:val="28"/>
          <w:szCs w:val="28"/>
        </w:rPr>
        <w:t>PM2.5</w:t>
      </w:r>
      <w:r w:rsidR="00CF5B47">
        <w:rPr>
          <w:rFonts w:hint="eastAsia"/>
          <w:sz w:val="28"/>
          <w:szCs w:val="28"/>
        </w:rPr>
        <w:t>平均浓度降至</w:t>
      </w:r>
      <w:r w:rsidR="00CF5B47">
        <w:rPr>
          <w:rFonts w:hint="eastAsia"/>
          <w:sz w:val="28"/>
          <w:szCs w:val="28"/>
        </w:rPr>
        <w:t>58</w:t>
      </w:r>
      <w:r w:rsidR="00CF5B47">
        <w:rPr>
          <w:rFonts w:hint="eastAsia"/>
          <w:sz w:val="28"/>
          <w:szCs w:val="28"/>
        </w:rPr>
        <w:t>微克</w:t>
      </w:r>
      <w:r w:rsidR="00CF5B47">
        <w:rPr>
          <w:rFonts w:hint="eastAsia"/>
          <w:sz w:val="28"/>
          <w:szCs w:val="28"/>
        </w:rPr>
        <w:t>/</w:t>
      </w:r>
      <w:r w:rsidR="00CF5B47">
        <w:rPr>
          <w:rFonts w:hint="eastAsia"/>
          <w:sz w:val="28"/>
          <w:szCs w:val="28"/>
        </w:rPr>
        <w:t>立方米。</w:t>
      </w:r>
      <w:r w:rsidR="00741F06">
        <w:rPr>
          <w:rFonts w:hint="eastAsia"/>
          <w:sz w:val="28"/>
          <w:szCs w:val="28"/>
        </w:rPr>
        <w:t>《大气十条》确定的空气质量改善目标全面完成。但，长三角改善的速度不及京津冀，</w:t>
      </w:r>
      <w:proofErr w:type="gramStart"/>
      <w:r w:rsidR="00741F06">
        <w:rPr>
          <w:rFonts w:hint="eastAsia"/>
          <w:sz w:val="28"/>
          <w:szCs w:val="28"/>
        </w:rPr>
        <w:t>且不够</w:t>
      </w:r>
      <w:proofErr w:type="gramEnd"/>
      <w:r w:rsidR="00741F06">
        <w:rPr>
          <w:rFonts w:hint="eastAsia"/>
          <w:sz w:val="28"/>
          <w:szCs w:val="28"/>
        </w:rPr>
        <w:t>稳定，今年</w:t>
      </w:r>
      <w:r w:rsidR="00741F06">
        <w:rPr>
          <w:rFonts w:hint="eastAsia"/>
          <w:sz w:val="28"/>
          <w:szCs w:val="28"/>
        </w:rPr>
        <w:t>1-5</w:t>
      </w:r>
      <w:r w:rsidR="00741F06">
        <w:rPr>
          <w:rFonts w:hint="eastAsia"/>
          <w:sz w:val="28"/>
          <w:szCs w:val="28"/>
        </w:rPr>
        <w:t>月，</w:t>
      </w:r>
      <w:r w:rsidR="00741F06">
        <w:rPr>
          <w:rFonts w:hint="eastAsia"/>
          <w:sz w:val="28"/>
          <w:szCs w:val="28"/>
        </w:rPr>
        <w:t>74</w:t>
      </w:r>
      <w:r w:rsidR="00741F06">
        <w:rPr>
          <w:rFonts w:hint="eastAsia"/>
          <w:sz w:val="28"/>
          <w:szCs w:val="28"/>
        </w:rPr>
        <w:t>个城市空气质量相对较差的后</w:t>
      </w:r>
      <w:r w:rsidR="00741F06">
        <w:rPr>
          <w:rFonts w:hint="eastAsia"/>
          <w:sz w:val="28"/>
          <w:szCs w:val="28"/>
        </w:rPr>
        <w:t>10</w:t>
      </w:r>
      <w:r w:rsidR="00741F06">
        <w:rPr>
          <w:rFonts w:hint="eastAsia"/>
          <w:sz w:val="28"/>
          <w:szCs w:val="28"/>
        </w:rPr>
        <w:t>个城市中就有徐州。京津冀仍是全国环境空气质量最差的地区，该地区</w:t>
      </w:r>
      <w:r w:rsidR="00741F06">
        <w:rPr>
          <w:rFonts w:hint="eastAsia"/>
          <w:sz w:val="28"/>
          <w:szCs w:val="28"/>
        </w:rPr>
        <w:t>5</w:t>
      </w:r>
      <w:r w:rsidR="00741F06">
        <w:rPr>
          <w:rFonts w:hint="eastAsia"/>
          <w:sz w:val="28"/>
          <w:szCs w:val="28"/>
        </w:rPr>
        <w:t>省（市）优良天气比例仍不到</w:t>
      </w:r>
      <w:r w:rsidR="00741F06">
        <w:rPr>
          <w:rFonts w:hint="eastAsia"/>
          <w:sz w:val="28"/>
          <w:szCs w:val="28"/>
        </w:rPr>
        <w:t>60%</w:t>
      </w:r>
      <w:r w:rsidR="00741F06">
        <w:rPr>
          <w:rFonts w:hint="eastAsia"/>
          <w:sz w:val="28"/>
          <w:szCs w:val="28"/>
        </w:rPr>
        <w:t>，北京市</w:t>
      </w:r>
      <w:r w:rsidR="00741F06">
        <w:rPr>
          <w:rFonts w:hint="eastAsia"/>
          <w:sz w:val="28"/>
          <w:szCs w:val="28"/>
        </w:rPr>
        <w:t>PM2.5</w:t>
      </w:r>
      <w:r w:rsidR="00741F06">
        <w:rPr>
          <w:rFonts w:hint="eastAsia"/>
          <w:sz w:val="28"/>
          <w:szCs w:val="28"/>
        </w:rPr>
        <w:t>平均浓度距达到</w:t>
      </w:r>
      <w:r w:rsidR="00741F06">
        <w:rPr>
          <w:rFonts w:hint="eastAsia"/>
          <w:sz w:val="28"/>
          <w:szCs w:val="28"/>
        </w:rPr>
        <w:t>35</w:t>
      </w:r>
      <w:r w:rsidR="00741F06">
        <w:rPr>
          <w:rFonts w:hint="eastAsia"/>
          <w:sz w:val="28"/>
          <w:szCs w:val="28"/>
        </w:rPr>
        <w:t>微克</w:t>
      </w:r>
      <w:r w:rsidR="00741F06">
        <w:rPr>
          <w:rFonts w:hint="eastAsia"/>
          <w:sz w:val="28"/>
          <w:szCs w:val="28"/>
        </w:rPr>
        <w:t>/</w:t>
      </w:r>
      <w:r w:rsidR="00741F06">
        <w:rPr>
          <w:rFonts w:hint="eastAsia"/>
          <w:sz w:val="28"/>
          <w:szCs w:val="28"/>
        </w:rPr>
        <w:t>立方米的标准还有很大距离。珠三角作为一个重点区域整体达标，</w:t>
      </w:r>
      <w:r w:rsidR="00613EDF">
        <w:rPr>
          <w:rFonts w:hint="eastAsia"/>
          <w:sz w:val="28"/>
          <w:szCs w:val="28"/>
        </w:rPr>
        <w:t>且连续三年低于</w:t>
      </w:r>
      <w:r w:rsidR="00613EDF">
        <w:rPr>
          <w:rFonts w:hint="eastAsia"/>
          <w:sz w:val="28"/>
          <w:szCs w:val="28"/>
        </w:rPr>
        <w:t>35</w:t>
      </w:r>
      <w:r w:rsidR="00613EDF">
        <w:rPr>
          <w:rFonts w:hint="eastAsia"/>
          <w:sz w:val="28"/>
          <w:szCs w:val="28"/>
        </w:rPr>
        <w:t>微克</w:t>
      </w:r>
      <w:r w:rsidR="00613EDF">
        <w:rPr>
          <w:rFonts w:hint="eastAsia"/>
          <w:sz w:val="28"/>
          <w:szCs w:val="28"/>
        </w:rPr>
        <w:t>/</w:t>
      </w:r>
      <w:r w:rsidR="00613EDF">
        <w:rPr>
          <w:rFonts w:hint="eastAsia"/>
          <w:sz w:val="28"/>
          <w:szCs w:val="28"/>
        </w:rPr>
        <w:t>立方米，</w:t>
      </w:r>
      <w:r w:rsidR="00904692">
        <w:rPr>
          <w:rFonts w:hint="eastAsia"/>
          <w:sz w:val="28"/>
          <w:szCs w:val="28"/>
        </w:rPr>
        <w:t>2017</w:t>
      </w:r>
      <w:r w:rsidR="00904692">
        <w:rPr>
          <w:rFonts w:hint="eastAsia"/>
          <w:sz w:val="28"/>
          <w:szCs w:val="28"/>
        </w:rPr>
        <w:t>年又下降</w:t>
      </w:r>
      <w:r w:rsidR="00904692">
        <w:rPr>
          <w:rFonts w:hint="eastAsia"/>
          <w:sz w:val="28"/>
          <w:szCs w:val="28"/>
        </w:rPr>
        <w:t>15%</w:t>
      </w:r>
      <w:r w:rsidR="00904692">
        <w:rPr>
          <w:rFonts w:hint="eastAsia"/>
          <w:sz w:val="28"/>
          <w:szCs w:val="28"/>
        </w:rPr>
        <w:t>，</w:t>
      </w:r>
      <w:r w:rsidR="00613EDF">
        <w:rPr>
          <w:rFonts w:hint="eastAsia"/>
          <w:sz w:val="28"/>
          <w:szCs w:val="28"/>
        </w:rPr>
        <w:t>广州、深圳在全国一线城市中率先突围，广州为</w:t>
      </w:r>
      <w:r w:rsidR="00613EDF">
        <w:rPr>
          <w:rFonts w:hint="eastAsia"/>
          <w:sz w:val="28"/>
          <w:szCs w:val="28"/>
        </w:rPr>
        <w:t>35</w:t>
      </w:r>
      <w:r w:rsidR="00613EDF">
        <w:rPr>
          <w:rFonts w:hint="eastAsia"/>
          <w:sz w:val="28"/>
          <w:szCs w:val="28"/>
        </w:rPr>
        <w:t>微克</w:t>
      </w:r>
      <w:r w:rsidR="00613EDF">
        <w:rPr>
          <w:rFonts w:hint="eastAsia"/>
          <w:sz w:val="28"/>
          <w:szCs w:val="28"/>
        </w:rPr>
        <w:t>/</w:t>
      </w:r>
      <w:r w:rsidR="00613EDF">
        <w:rPr>
          <w:rFonts w:hint="eastAsia"/>
          <w:sz w:val="28"/>
          <w:szCs w:val="28"/>
        </w:rPr>
        <w:t>立方米，深圳为</w:t>
      </w:r>
      <w:r w:rsidR="00613EDF">
        <w:rPr>
          <w:rFonts w:hint="eastAsia"/>
          <w:sz w:val="28"/>
          <w:szCs w:val="28"/>
        </w:rPr>
        <w:t>28</w:t>
      </w:r>
      <w:r w:rsidR="00613EDF">
        <w:rPr>
          <w:rFonts w:hint="eastAsia"/>
          <w:sz w:val="28"/>
          <w:szCs w:val="28"/>
        </w:rPr>
        <w:t>微克</w:t>
      </w:r>
      <w:r w:rsidR="00613EDF">
        <w:rPr>
          <w:rFonts w:hint="eastAsia"/>
          <w:sz w:val="28"/>
          <w:szCs w:val="28"/>
        </w:rPr>
        <w:t>/</w:t>
      </w:r>
      <w:r w:rsidR="00613EDF">
        <w:rPr>
          <w:rFonts w:hint="eastAsia"/>
          <w:sz w:val="28"/>
          <w:szCs w:val="28"/>
        </w:rPr>
        <w:t>立方米。</w:t>
      </w:r>
      <w:r w:rsidR="00904692">
        <w:rPr>
          <w:rFonts w:hint="eastAsia"/>
          <w:sz w:val="28"/>
          <w:szCs w:val="28"/>
        </w:rPr>
        <w:t>但</w:t>
      </w:r>
      <w:proofErr w:type="gramStart"/>
      <w:r w:rsidR="00613EDF">
        <w:rPr>
          <w:rFonts w:hint="eastAsia"/>
          <w:sz w:val="28"/>
          <w:szCs w:val="28"/>
        </w:rPr>
        <w:t>汾</w:t>
      </w:r>
      <w:proofErr w:type="gramEnd"/>
      <w:r w:rsidR="00613EDF">
        <w:rPr>
          <w:rFonts w:hint="eastAsia"/>
          <w:sz w:val="28"/>
          <w:szCs w:val="28"/>
        </w:rPr>
        <w:t>渭平原</w:t>
      </w:r>
      <w:r w:rsidR="00904692">
        <w:rPr>
          <w:rFonts w:hint="eastAsia"/>
          <w:sz w:val="28"/>
          <w:szCs w:val="28"/>
        </w:rPr>
        <w:t>因地理条件、人为因素和管理放松，发生反弹，</w:t>
      </w:r>
      <w:r w:rsidR="00904692">
        <w:rPr>
          <w:rFonts w:hint="eastAsia"/>
          <w:sz w:val="28"/>
          <w:szCs w:val="28"/>
        </w:rPr>
        <w:t>PM2.5</w:t>
      </w:r>
      <w:r w:rsidR="00904692">
        <w:rPr>
          <w:rFonts w:hint="eastAsia"/>
          <w:sz w:val="28"/>
          <w:szCs w:val="28"/>
        </w:rPr>
        <w:t>排名后</w:t>
      </w:r>
      <w:r w:rsidR="00904692">
        <w:rPr>
          <w:rFonts w:hint="eastAsia"/>
          <w:sz w:val="28"/>
          <w:szCs w:val="28"/>
        </w:rPr>
        <w:t>20</w:t>
      </w:r>
      <w:r w:rsidR="00904692">
        <w:rPr>
          <w:rFonts w:hint="eastAsia"/>
          <w:sz w:val="28"/>
          <w:szCs w:val="28"/>
        </w:rPr>
        <w:t>的城市由</w:t>
      </w:r>
      <w:r w:rsidR="00904692">
        <w:rPr>
          <w:rFonts w:hint="eastAsia"/>
          <w:sz w:val="28"/>
          <w:szCs w:val="28"/>
        </w:rPr>
        <w:t>2015</w:t>
      </w:r>
      <w:r w:rsidR="00904692">
        <w:rPr>
          <w:rFonts w:hint="eastAsia"/>
          <w:sz w:val="28"/>
          <w:szCs w:val="28"/>
        </w:rPr>
        <w:t>年的</w:t>
      </w:r>
      <w:r w:rsidR="00904692">
        <w:rPr>
          <w:rFonts w:hint="eastAsia"/>
          <w:sz w:val="28"/>
          <w:szCs w:val="28"/>
        </w:rPr>
        <w:t>0</w:t>
      </w:r>
      <w:r w:rsidR="00904692">
        <w:rPr>
          <w:rFonts w:hint="eastAsia"/>
          <w:sz w:val="28"/>
          <w:szCs w:val="28"/>
        </w:rPr>
        <w:t>个增加到</w:t>
      </w:r>
      <w:r w:rsidR="00904692">
        <w:rPr>
          <w:rFonts w:hint="eastAsia"/>
          <w:sz w:val="28"/>
          <w:szCs w:val="28"/>
        </w:rPr>
        <w:t>6</w:t>
      </w:r>
      <w:r w:rsidR="00904692">
        <w:rPr>
          <w:rFonts w:hint="eastAsia"/>
          <w:sz w:val="28"/>
          <w:szCs w:val="28"/>
        </w:rPr>
        <w:t>个，从</w:t>
      </w:r>
      <w:r w:rsidR="00904692">
        <w:rPr>
          <w:rFonts w:hint="eastAsia"/>
          <w:sz w:val="28"/>
          <w:szCs w:val="28"/>
        </w:rPr>
        <w:t>2016</w:t>
      </w:r>
      <w:r w:rsidR="00904692">
        <w:rPr>
          <w:rFonts w:hint="eastAsia"/>
          <w:sz w:val="28"/>
          <w:szCs w:val="28"/>
        </w:rPr>
        <w:t>年底到</w:t>
      </w:r>
      <w:r w:rsidR="00904692">
        <w:rPr>
          <w:rFonts w:hint="eastAsia"/>
          <w:sz w:val="28"/>
          <w:szCs w:val="28"/>
        </w:rPr>
        <w:t>2017</w:t>
      </w:r>
      <w:r w:rsidR="00904692">
        <w:rPr>
          <w:rFonts w:hint="eastAsia"/>
          <w:sz w:val="28"/>
          <w:szCs w:val="28"/>
        </w:rPr>
        <w:t>年</w:t>
      </w:r>
      <w:r w:rsidR="00904692">
        <w:rPr>
          <w:rFonts w:hint="eastAsia"/>
          <w:sz w:val="28"/>
          <w:szCs w:val="28"/>
        </w:rPr>
        <w:t>1</w:t>
      </w:r>
      <w:r w:rsidR="00904692">
        <w:rPr>
          <w:rFonts w:hint="eastAsia"/>
          <w:sz w:val="28"/>
          <w:szCs w:val="28"/>
        </w:rPr>
        <w:t>月，山西临汾二氧化硫浓度持续攀高</w:t>
      </w:r>
      <w:r w:rsidR="00AA1027">
        <w:rPr>
          <w:rFonts w:hint="eastAsia"/>
          <w:sz w:val="28"/>
          <w:szCs w:val="28"/>
        </w:rPr>
        <w:t>，实时监测指数多次破千（每立方米</w:t>
      </w:r>
      <w:proofErr w:type="gramStart"/>
      <w:r w:rsidR="00AA1027">
        <w:rPr>
          <w:rFonts w:hint="eastAsia"/>
          <w:sz w:val="28"/>
          <w:szCs w:val="28"/>
        </w:rPr>
        <w:t>微</w:t>
      </w:r>
      <w:r w:rsidR="00904692">
        <w:rPr>
          <w:rFonts w:hint="eastAsia"/>
          <w:sz w:val="28"/>
          <w:szCs w:val="28"/>
        </w:rPr>
        <w:t>克值</w:t>
      </w:r>
      <w:proofErr w:type="gramEnd"/>
      <w:r w:rsidR="00904692">
        <w:rPr>
          <w:rFonts w:hint="eastAsia"/>
          <w:sz w:val="28"/>
          <w:szCs w:val="28"/>
        </w:rPr>
        <w:t xml:space="preserve"> </w:t>
      </w:r>
      <w:r w:rsidR="00904692">
        <w:rPr>
          <w:rFonts w:hint="eastAsia"/>
          <w:sz w:val="28"/>
          <w:szCs w:val="28"/>
        </w:rPr>
        <w:t>）</w:t>
      </w:r>
      <w:r w:rsidR="00E55569">
        <w:rPr>
          <w:rFonts w:hint="eastAsia"/>
          <w:sz w:val="28"/>
          <w:szCs w:val="28"/>
        </w:rPr>
        <w:t>，</w:t>
      </w:r>
      <w:proofErr w:type="gramStart"/>
      <w:r w:rsidR="00E55569">
        <w:rPr>
          <w:rFonts w:hint="eastAsia"/>
          <w:sz w:val="28"/>
          <w:szCs w:val="28"/>
        </w:rPr>
        <w:t>汾</w:t>
      </w:r>
      <w:proofErr w:type="gramEnd"/>
      <w:r w:rsidR="00E55569">
        <w:rPr>
          <w:rFonts w:hint="eastAsia"/>
          <w:sz w:val="28"/>
          <w:szCs w:val="28"/>
        </w:rPr>
        <w:t>渭平原三省（河南、山西、陕西）只有陕西公布了</w:t>
      </w:r>
      <w:r w:rsidR="00E55569">
        <w:rPr>
          <w:rFonts w:hint="eastAsia"/>
          <w:sz w:val="28"/>
          <w:szCs w:val="28"/>
        </w:rPr>
        <w:t>2017</w:t>
      </w:r>
      <w:r w:rsidR="00E55569">
        <w:rPr>
          <w:rFonts w:hint="eastAsia"/>
          <w:sz w:val="28"/>
          <w:szCs w:val="28"/>
        </w:rPr>
        <w:t>年环境质量公报，</w:t>
      </w:r>
      <w:r w:rsidR="00E55569">
        <w:rPr>
          <w:rFonts w:hint="eastAsia"/>
          <w:sz w:val="28"/>
          <w:szCs w:val="28"/>
        </w:rPr>
        <w:t>PM2.5</w:t>
      </w:r>
      <w:r w:rsidR="00E55569">
        <w:rPr>
          <w:rFonts w:hint="eastAsia"/>
          <w:sz w:val="28"/>
          <w:szCs w:val="28"/>
        </w:rPr>
        <w:t>平均为</w:t>
      </w:r>
      <w:r w:rsidR="00E55569">
        <w:rPr>
          <w:rFonts w:hint="eastAsia"/>
          <w:sz w:val="28"/>
          <w:szCs w:val="28"/>
        </w:rPr>
        <w:t>57</w:t>
      </w:r>
      <w:r w:rsidR="00E55569">
        <w:rPr>
          <w:rFonts w:hint="eastAsia"/>
          <w:sz w:val="28"/>
          <w:szCs w:val="28"/>
        </w:rPr>
        <w:t>微克</w:t>
      </w:r>
      <w:r w:rsidR="00E55569">
        <w:rPr>
          <w:rFonts w:hint="eastAsia"/>
          <w:sz w:val="28"/>
          <w:szCs w:val="28"/>
        </w:rPr>
        <w:t>/</w:t>
      </w:r>
      <w:r w:rsidR="00E55569">
        <w:rPr>
          <w:rFonts w:hint="eastAsia"/>
          <w:sz w:val="28"/>
          <w:szCs w:val="28"/>
        </w:rPr>
        <w:t>立方米，全省</w:t>
      </w:r>
      <w:r w:rsidR="00E55569">
        <w:rPr>
          <w:rFonts w:hint="eastAsia"/>
          <w:sz w:val="28"/>
          <w:szCs w:val="28"/>
        </w:rPr>
        <w:t>13</w:t>
      </w:r>
      <w:r w:rsidR="00E55569">
        <w:rPr>
          <w:rFonts w:hint="eastAsia"/>
          <w:sz w:val="28"/>
          <w:szCs w:val="28"/>
        </w:rPr>
        <w:t>个市区中，只有榆林达到年平均二级标准（</w:t>
      </w:r>
      <w:r w:rsidR="00E55569">
        <w:rPr>
          <w:rFonts w:hint="eastAsia"/>
          <w:sz w:val="28"/>
          <w:szCs w:val="28"/>
        </w:rPr>
        <w:t>35</w:t>
      </w:r>
      <w:r w:rsidR="00E55569">
        <w:rPr>
          <w:rFonts w:hint="eastAsia"/>
          <w:sz w:val="28"/>
          <w:szCs w:val="28"/>
        </w:rPr>
        <w:t>微克</w:t>
      </w:r>
      <w:r w:rsidR="00E55569">
        <w:rPr>
          <w:rFonts w:hint="eastAsia"/>
          <w:sz w:val="28"/>
          <w:szCs w:val="28"/>
        </w:rPr>
        <w:t>/</w:t>
      </w:r>
      <w:r w:rsidR="00E55569">
        <w:rPr>
          <w:rFonts w:hint="eastAsia"/>
          <w:sz w:val="28"/>
          <w:szCs w:val="28"/>
        </w:rPr>
        <w:t>立方米），二氧化硫和臭氧超标的市（区）超过一半。所以</w:t>
      </w:r>
      <w:proofErr w:type="gramStart"/>
      <w:r w:rsidR="00E55569">
        <w:rPr>
          <w:rFonts w:hint="eastAsia"/>
          <w:sz w:val="28"/>
          <w:szCs w:val="28"/>
        </w:rPr>
        <w:t>汾</w:t>
      </w:r>
      <w:proofErr w:type="gramEnd"/>
      <w:r w:rsidR="00E55569">
        <w:rPr>
          <w:rFonts w:hint="eastAsia"/>
          <w:sz w:val="28"/>
          <w:szCs w:val="28"/>
        </w:rPr>
        <w:t>渭</w:t>
      </w:r>
      <w:r w:rsidR="007369BE">
        <w:rPr>
          <w:rFonts w:hint="eastAsia"/>
          <w:sz w:val="28"/>
          <w:szCs w:val="28"/>
        </w:rPr>
        <w:t>平原</w:t>
      </w:r>
      <w:r w:rsidR="00613EDF">
        <w:rPr>
          <w:rFonts w:hint="eastAsia"/>
          <w:sz w:val="28"/>
          <w:szCs w:val="28"/>
        </w:rPr>
        <w:t>代替珠三角成为重点区域和主战场</w:t>
      </w:r>
      <w:r w:rsidR="00AA1027">
        <w:rPr>
          <w:rFonts w:hint="eastAsia"/>
          <w:sz w:val="28"/>
          <w:szCs w:val="28"/>
        </w:rPr>
        <w:t>之一</w:t>
      </w:r>
      <w:r w:rsidR="00613EDF">
        <w:rPr>
          <w:rFonts w:hint="eastAsia"/>
          <w:sz w:val="28"/>
          <w:szCs w:val="28"/>
        </w:rPr>
        <w:t>。</w:t>
      </w:r>
    </w:p>
    <w:p w:rsidR="00C33551" w:rsidRPr="00C33551" w:rsidRDefault="00C33551" w:rsidP="003B70F1">
      <w:pPr>
        <w:ind w:firstLineChars="200" w:firstLine="560"/>
        <w:rPr>
          <w:sz w:val="28"/>
          <w:szCs w:val="28"/>
        </w:rPr>
      </w:pPr>
      <w:r>
        <w:rPr>
          <w:rFonts w:hint="eastAsia"/>
          <w:sz w:val="28"/>
          <w:szCs w:val="28"/>
        </w:rPr>
        <w:t>继</w:t>
      </w:r>
      <w:r>
        <w:rPr>
          <w:rFonts w:hint="eastAsia"/>
          <w:sz w:val="28"/>
          <w:szCs w:val="28"/>
        </w:rPr>
        <w:t>2017</w:t>
      </w:r>
      <w:r>
        <w:rPr>
          <w:rFonts w:hint="eastAsia"/>
          <w:sz w:val="28"/>
          <w:szCs w:val="28"/>
        </w:rPr>
        <w:t>年环境督查“回头看”，今年</w:t>
      </w:r>
      <w:r>
        <w:rPr>
          <w:rFonts w:hint="eastAsia"/>
          <w:sz w:val="28"/>
          <w:szCs w:val="28"/>
        </w:rPr>
        <w:t>6</w:t>
      </w:r>
      <w:r>
        <w:rPr>
          <w:rFonts w:hint="eastAsia"/>
          <w:sz w:val="28"/>
          <w:szCs w:val="28"/>
        </w:rPr>
        <w:t>月</w:t>
      </w:r>
      <w:r>
        <w:rPr>
          <w:rFonts w:hint="eastAsia"/>
          <w:sz w:val="28"/>
          <w:szCs w:val="28"/>
        </w:rPr>
        <w:t>7</w:t>
      </w:r>
      <w:r>
        <w:rPr>
          <w:rFonts w:hint="eastAsia"/>
          <w:sz w:val="28"/>
          <w:szCs w:val="28"/>
        </w:rPr>
        <w:t>日，生态环境部印发了《</w:t>
      </w:r>
      <w:r>
        <w:rPr>
          <w:rFonts w:hint="eastAsia"/>
          <w:sz w:val="28"/>
          <w:szCs w:val="28"/>
        </w:rPr>
        <w:t>2018-2019</w:t>
      </w:r>
      <w:r>
        <w:rPr>
          <w:rFonts w:hint="eastAsia"/>
          <w:sz w:val="28"/>
          <w:szCs w:val="28"/>
        </w:rPr>
        <w:t>年蓝天保卫战重点区域强化督查方案》</w:t>
      </w:r>
      <w:r w:rsidR="0069121D">
        <w:rPr>
          <w:rFonts w:hint="eastAsia"/>
          <w:sz w:val="28"/>
          <w:szCs w:val="28"/>
        </w:rPr>
        <w:t>，从</w:t>
      </w:r>
      <w:r w:rsidR="0069121D">
        <w:rPr>
          <w:rFonts w:hint="eastAsia"/>
          <w:sz w:val="28"/>
          <w:szCs w:val="28"/>
        </w:rPr>
        <w:t>6</w:t>
      </w:r>
      <w:r w:rsidR="0069121D">
        <w:rPr>
          <w:rFonts w:hint="eastAsia"/>
          <w:sz w:val="28"/>
          <w:szCs w:val="28"/>
        </w:rPr>
        <w:t>月</w:t>
      </w:r>
      <w:r w:rsidR="0069121D">
        <w:rPr>
          <w:rFonts w:hint="eastAsia"/>
          <w:sz w:val="28"/>
          <w:szCs w:val="28"/>
        </w:rPr>
        <w:t>11</w:t>
      </w:r>
      <w:r w:rsidR="0069121D">
        <w:rPr>
          <w:rFonts w:hint="eastAsia"/>
          <w:sz w:val="28"/>
          <w:szCs w:val="28"/>
        </w:rPr>
        <w:t>日</w:t>
      </w:r>
      <w:r w:rsidR="0069121D">
        <w:rPr>
          <w:rFonts w:hint="eastAsia"/>
          <w:sz w:val="28"/>
          <w:szCs w:val="28"/>
        </w:rPr>
        <w:lastRenderedPageBreak/>
        <w:t>开始到</w:t>
      </w:r>
      <w:r w:rsidR="0069121D">
        <w:rPr>
          <w:rFonts w:hint="eastAsia"/>
          <w:sz w:val="28"/>
          <w:szCs w:val="28"/>
        </w:rPr>
        <w:t>2019</w:t>
      </w:r>
      <w:r w:rsidR="0069121D">
        <w:rPr>
          <w:rFonts w:hint="eastAsia"/>
          <w:sz w:val="28"/>
          <w:szCs w:val="28"/>
        </w:rPr>
        <w:t>年</w:t>
      </w:r>
      <w:r w:rsidR="0069121D">
        <w:rPr>
          <w:rFonts w:hint="eastAsia"/>
          <w:sz w:val="28"/>
          <w:szCs w:val="28"/>
        </w:rPr>
        <w:t>4</w:t>
      </w:r>
      <w:r w:rsidR="0069121D">
        <w:rPr>
          <w:rFonts w:hint="eastAsia"/>
          <w:sz w:val="28"/>
          <w:szCs w:val="28"/>
        </w:rPr>
        <w:t>月</w:t>
      </w:r>
      <w:r w:rsidR="0069121D">
        <w:rPr>
          <w:rFonts w:hint="eastAsia"/>
          <w:sz w:val="28"/>
          <w:szCs w:val="28"/>
        </w:rPr>
        <w:t>28</w:t>
      </w:r>
      <w:r w:rsidR="0069121D">
        <w:rPr>
          <w:rFonts w:hint="eastAsia"/>
          <w:sz w:val="28"/>
          <w:szCs w:val="28"/>
        </w:rPr>
        <w:t>日结束，督查的重点区域是京津冀“</w:t>
      </w:r>
      <w:r w:rsidR="0069121D">
        <w:rPr>
          <w:rFonts w:hint="eastAsia"/>
          <w:sz w:val="28"/>
          <w:szCs w:val="28"/>
        </w:rPr>
        <w:t>2+26</w:t>
      </w:r>
      <w:r w:rsidR="0069121D">
        <w:rPr>
          <w:rFonts w:hint="eastAsia"/>
          <w:sz w:val="28"/>
          <w:szCs w:val="28"/>
        </w:rPr>
        <w:t>”城市、</w:t>
      </w:r>
      <w:proofErr w:type="gramStart"/>
      <w:r w:rsidR="0069121D">
        <w:rPr>
          <w:rFonts w:hint="eastAsia"/>
          <w:sz w:val="28"/>
          <w:szCs w:val="28"/>
        </w:rPr>
        <w:t>汾</w:t>
      </w:r>
      <w:proofErr w:type="gramEnd"/>
      <w:r w:rsidR="0069121D">
        <w:rPr>
          <w:rFonts w:hint="eastAsia"/>
          <w:sz w:val="28"/>
          <w:szCs w:val="28"/>
        </w:rPr>
        <w:t>渭平原</w:t>
      </w:r>
      <w:r w:rsidR="0069121D">
        <w:rPr>
          <w:rFonts w:hint="eastAsia"/>
          <w:sz w:val="28"/>
          <w:szCs w:val="28"/>
        </w:rPr>
        <w:t>11</w:t>
      </w:r>
      <w:r w:rsidR="00AA1027">
        <w:rPr>
          <w:rFonts w:hint="eastAsia"/>
          <w:sz w:val="28"/>
          <w:szCs w:val="28"/>
        </w:rPr>
        <w:t>城市和长三角地区，参与</w:t>
      </w:r>
      <w:r w:rsidR="0069121D">
        <w:rPr>
          <w:rFonts w:hint="eastAsia"/>
          <w:sz w:val="28"/>
          <w:szCs w:val="28"/>
        </w:rPr>
        <w:t>人数从</w:t>
      </w:r>
      <w:r w:rsidR="0069121D">
        <w:rPr>
          <w:rFonts w:hint="eastAsia"/>
          <w:sz w:val="28"/>
          <w:szCs w:val="28"/>
        </w:rPr>
        <w:t>5600</w:t>
      </w:r>
      <w:r w:rsidR="0069121D">
        <w:rPr>
          <w:rFonts w:hint="eastAsia"/>
          <w:sz w:val="28"/>
          <w:szCs w:val="28"/>
        </w:rPr>
        <w:t>人（次）增加到</w:t>
      </w:r>
      <w:r w:rsidR="0069121D">
        <w:rPr>
          <w:rFonts w:hint="eastAsia"/>
          <w:sz w:val="28"/>
          <w:szCs w:val="28"/>
        </w:rPr>
        <w:t>1.8</w:t>
      </w:r>
      <w:r w:rsidR="0069121D">
        <w:rPr>
          <w:rFonts w:hint="eastAsia"/>
          <w:sz w:val="28"/>
          <w:szCs w:val="28"/>
        </w:rPr>
        <w:t>万人（次）。为了加强环境污染防治和环境执法监察，</w:t>
      </w:r>
      <w:r w:rsidR="0063589F">
        <w:rPr>
          <w:rFonts w:hint="eastAsia"/>
          <w:sz w:val="28"/>
          <w:szCs w:val="28"/>
        </w:rPr>
        <w:t>生态环境部的预算支出比</w:t>
      </w:r>
      <w:r w:rsidR="00AA1027">
        <w:rPr>
          <w:rFonts w:hint="eastAsia"/>
          <w:sz w:val="28"/>
          <w:szCs w:val="28"/>
        </w:rPr>
        <w:t>去年</w:t>
      </w:r>
      <w:r w:rsidR="0063589F">
        <w:rPr>
          <w:rFonts w:hint="eastAsia"/>
          <w:sz w:val="28"/>
          <w:szCs w:val="28"/>
        </w:rPr>
        <w:t>增加了</w:t>
      </w:r>
      <w:r w:rsidR="0063589F">
        <w:rPr>
          <w:rFonts w:hint="eastAsia"/>
          <w:sz w:val="28"/>
          <w:szCs w:val="28"/>
        </w:rPr>
        <w:t>50.38</w:t>
      </w:r>
      <w:r w:rsidR="0063589F">
        <w:rPr>
          <w:rFonts w:hint="eastAsia"/>
          <w:sz w:val="28"/>
          <w:szCs w:val="28"/>
        </w:rPr>
        <w:t>亿元，达</w:t>
      </w:r>
      <w:r w:rsidR="0063589F">
        <w:rPr>
          <w:rFonts w:hint="eastAsia"/>
          <w:sz w:val="28"/>
          <w:szCs w:val="28"/>
        </w:rPr>
        <w:t>121.55</w:t>
      </w:r>
      <w:r w:rsidR="0063589F">
        <w:rPr>
          <w:rFonts w:hint="eastAsia"/>
          <w:sz w:val="28"/>
          <w:szCs w:val="28"/>
        </w:rPr>
        <w:t>亿元，增长超七成，环境执法监察预算也从上年执行数</w:t>
      </w:r>
      <w:r w:rsidR="0063589F">
        <w:rPr>
          <w:rFonts w:hint="eastAsia"/>
          <w:sz w:val="28"/>
          <w:szCs w:val="28"/>
        </w:rPr>
        <w:t>1.8</w:t>
      </w:r>
      <w:r w:rsidR="0063589F">
        <w:rPr>
          <w:rFonts w:hint="eastAsia"/>
          <w:sz w:val="28"/>
          <w:szCs w:val="28"/>
        </w:rPr>
        <w:t>亿元增加到近</w:t>
      </w:r>
      <w:r w:rsidR="0063589F">
        <w:rPr>
          <w:rFonts w:hint="eastAsia"/>
          <w:sz w:val="28"/>
          <w:szCs w:val="28"/>
        </w:rPr>
        <w:t>3</w:t>
      </w:r>
      <w:r w:rsidR="0063589F">
        <w:rPr>
          <w:rFonts w:hint="eastAsia"/>
          <w:sz w:val="28"/>
          <w:szCs w:val="28"/>
        </w:rPr>
        <w:t>亿元，增长</w:t>
      </w:r>
      <w:r w:rsidR="0063589F">
        <w:rPr>
          <w:rFonts w:hint="eastAsia"/>
          <w:sz w:val="28"/>
          <w:szCs w:val="28"/>
        </w:rPr>
        <w:t>163.52%</w:t>
      </w:r>
      <w:r w:rsidR="0063589F">
        <w:rPr>
          <w:rFonts w:hint="eastAsia"/>
          <w:sz w:val="28"/>
          <w:szCs w:val="28"/>
        </w:rPr>
        <w:t>。</w:t>
      </w:r>
      <w:r w:rsidR="0063589F">
        <w:rPr>
          <w:rFonts w:hint="eastAsia"/>
          <w:sz w:val="28"/>
          <w:szCs w:val="28"/>
        </w:rPr>
        <w:t xml:space="preserve"> </w:t>
      </w:r>
    </w:p>
    <w:p w:rsidR="00B501F4" w:rsidRDefault="00F85C2D" w:rsidP="00EE72A8">
      <w:pPr>
        <w:ind w:firstLineChars="200" w:firstLine="560"/>
        <w:rPr>
          <w:sz w:val="28"/>
          <w:szCs w:val="28"/>
        </w:rPr>
      </w:pPr>
      <w:r>
        <w:rPr>
          <w:rFonts w:hint="eastAsia"/>
          <w:sz w:val="28"/>
          <w:szCs w:val="28"/>
        </w:rPr>
        <w:t>7</w:t>
      </w:r>
      <w:r>
        <w:rPr>
          <w:rFonts w:hint="eastAsia"/>
          <w:sz w:val="28"/>
          <w:szCs w:val="28"/>
        </w:rPr>
        <w:t>月</w:t>
      </w:r>
      <w:r>
        <w:rPr>
          <w:rFonts w:hint="eastAsia"/>
          <w:sz w:val="28"/>
          <w:szCs w:val="28"/>
        </w:rPr>
        <w:t>3</w:t>
      </w:r>
      <w:r>
        <w:rPr>
          <w:rFonts w:hint="eastAsia"/>
          <w:sz w:val="28"/>
          <w:szCs w:val="28"/>
        </w:rPr>
        <w:t>日，国务院印发了《打赢蓝天保卫战三年行动计划》</w:t>
      </w:r>
      <w:r w:rsidR="00F14520">
        <w:rPr>
          <w:rFonts w:hint="eastAsia"/>
          <w:sz w:val="28"/>
          <w:szCs w:val="28"/>
        </w:rPr>
        <w:t>，</w:t>
      </w:r>
      <w:r>
        <w:rPr>
          <w:rFonts w:hint="eastAsia"/>
          <w:sz w:val="28"/>
          <w:szCs w:val="28"/>
        </w:rPr>
        <w:t>提出了打赢蓝天保卫战的时间表和路线图。</w:t>
      </w:r>
      <w:r w:rsidR="0063589F">
        <w:rPr>
          <w:rFonts w:hint="eastAsia"/>
          <w:sz w:val="28"/>
          <w:szCs w:val="28"/>
        </w:rPr>
        <w:t>针对我国当前结构性污染较为突出的问题，《行动计划》提出大力调整和优化产业结构、能源结构</w:t>
      </w:r>
      <w:r w:rsidR="007369BE">
        <w:rPr>
          <w:rFonts w:hint="eastAsia"/>
          <w:sz w:val="28"/>
          <w:szCs w:val="28"/>
        </w:rPr>
        <w:t>、</w:t>
      </w:r>
      <w:r w:rsidR="0063589F">
        <w:rPr>
          <w:rFonts w:hint="eastAsia"/>
          <w:sz w:val="28"/>
          <w:szCs w:val="28"/>
        </w:rPr>
        <w:t>运输结构和用地结构</w:t>
      </w:r>
      <w:r w:rsidR="00EE72A8">
        <w:rPr>
          <w:rFonts w:hint="eastAsia"/>
          <w:sz w:val="28"/>
          <w:szCs w:val="28"/>
        </w:rPr>
        <w:t>。如果要分轻重缓急，产业结构和能源结构是首要的。据统计局发布的《</w:t>
      </w:r>
      <w:r w:rsidR="00EE72A8">
        <w:rPr>
          <w:rFonts w:hint="eastAsia"/>
          <w:sz w:val="28"/>
          <w:szCs w:val="28"/>
        </w:rPr>
        <w:t>2017</w:t>
      </w:r>
      <w:r w:rsidR="00EE72A8">
        <w:rPr>
          <w:rFonts w:hint="eastAsia"/>
          <w:sz w:val="28"/>
          <w:szCs w:val="28"/>
        </w:rPr>
        <w:t>年国民经济和社会发展统计公报》</w:t>
      </w:r>
      <w:r w:rsidR="00AA1027">
        <w:rPr>
          <w:rFonts w:hint="eastAsia"/>
          <w:sz w:val="28"/>
          <w:szCs w:val="28"/>
        </w:rPr>
        <w:t>，</w:t>
      </w:r>
      <w:r w:rsidR="00EE72A8">
        <w:rPr>
          <w:rFonts w:hint="eastAsia"/>
          <w:sz w:val="28"/>
          <w:szCs w:val="28"/>
        </w:rPr>
        <w:t>2017</w:t>
      </w:r>
      <w:r w:rsidR="00EE72A8">
        <w:rPr>
          <w:rFonts w:hint="eastAsia"/>
          <w:sz w:val="28"/>
          <w:szCs w:val="28"/>
        </w:rPr>
        <w:t>年全年能源消费总量</w:t>
      </w:r>
      <w:r w:rsidR="00EE72A8">
        <w:rPr>
          <w:rFonts w:hint="eastAsia"/>
          <w:sz w:val="28"/>
          <w:szCs w:val="28"/>
        </w:rPr>
        <w:t>44.9</w:t>
      </w:r>
      <w:r w:rsidR="00EE72A8">
        <w:rPr>
          <w:rFonts w:hint="eastAsia"/>
          <w:sz w:val="28"/>
          <w:szCs w:val="28"/>
        </w:rPr>
        <w:t>亿吨标准煤，其中煤炭消费量占</w:t>
      </w:r>
      <w:r w:rsidR="00EE72A8">
        <w:rPr>
          <w:rFonts w:hint="eastAsia"/>
          <w:sz w:val="28"/>
          <w:szCs w:val="28"/>
        </w:rPr>
        <w:t>60.4%</w:t>
      </w:r>
      <w:r w:rsidR="00EE72A8">
        <w:rPr>
          <w:rFonts w:hint="eastAsia"/>
          <w:sz w:val="28"/>
          <w:szCs w:val="28"/>
        </w:rPr>
        <w:t>，天然气、水电、核电、风电</w:t>
      </w:r>
      <w:r w:rsidR="00EE72A8" w:rsidRPr="00EE72A8">
        <w:rPr>
          <w:rFonts w:hint="eastAsia"/>
          <w:sz w:val="28"/>
          <w:szCs w:val="28"/>
        </w:rPr>
        <w:t>等清洁能源</w:t>
      </w:r>
      <w:r w:rsidR="00EE72A8">
        <w:rPr>
          <w:rFonts w:hint="eastAsia"/>
          <w:sz w:val="28"/>
          <w:szCs w:val="28"/>
        </w:rPr>
        <w:t>仅占</w:t>
      </w:r>
      <w:r w:rsidR="00EE72A8">
        <w:rPr>
          <w:rFonts w:hint="eastAsia"/>
          <w:sz w:val="28"/>
          <w:szCs w:val="28"/>
        </w:rPr>
        <w:t>20.8%</w:t>
      </w:r>
      <w:r w:rsidR="00EE72A8">
        <w:rPr>
          <w:rFonts w:hint="eastAsia"/>
          <w:sz w:val="28"/>
          <w:szCs w:val="28"/>
        </w:rPr>
        <w:t>。</w:t>
      </w:r>
      <w:r w:rsidR="00AA1027">
        <w:rPr>
          <w:rFonts w:hint="eastAsia"/>
          <w:sz w:val="28"/>
          <w:szCs w:val="28"/>
        </w:rPr>
        <w:t>《行动</w:t>
      </w:r>
      <w:r w:rsidR="00EE72A8">
        <w:rPr>
          <w:rFonts w:hint="eastAsia"/>
          <w:sz w:val="28"/>
          <w:szCs w:val="28"/>
        </w:rPr>
        <w:t>计划</w:t>
      </w:r>
      <w:r w:rsidR="00AA1027">
        <w:rPr>
          <w:rFonts w:hint="eastAsia"/>
          <w:sz w:val="28"/>
          <w:szCs w:val="28"/>
        </w:rPr>
        <w:t>》</w:t>
      </w:r>
      <w:r w:rsidR="00EE72A8">
        <w:rPr>
          <w:rFonts w:hint="eastAsia"/>
          <w:sz w:val="28"/>
          <w:szCs w:val="28"/>
        </w:rPr>
        <w:t>要求</w:t>
      </w:r>
      <w:r w:rsidR="00EE72A8">
        <w:rPr>
          <w:rFonts w:hint="eastAsia"/>
          <w:sz w:val="28"/>
          <w:szCs w:val="28"/>
        </w:rPr>
        <w:t>2020</w:t>
      </w:r>
      <w:r w:rsidR="00EE72A8">
        <w:rPr>
          <w:rFonts w:hint="eastAsia"/>
          <w:sz w:val="28"/>
          <w:szCs w:val="28"/>
        </w:rPr>
        <w:t>年煤炭消费降至</w:t>
      </w:r>
      <w:r w:rsidR="00EE72A8">
        <w:rPr>
          <w:rFonts w:hint="eastAsia"/>
          <w:sz w:val="28"/>
          <w:szCs w:val="28"/>
        </w:rPr>
        <w:t>58%</w:t>
      </w:r>
      <w:r w:rsidR="00EE72A8">
        <w:rPr>
          <w:rFonts w:hint="eastAsia"/>
          <w:sz w:val="28"/>
          <w:szCs w:val="28"/>
        </w:rPr>
        <w:t>以下，</w:t>
      </w:r>
      <w:r w:rsidR="006F76F6">
        <w:rPr>
          <w:rFonts w:hint="eastAsia"/>
          <w:sz w:val="28"/>
          <w:szCs w:val="28"/>
        </w:rPr>
        <w:t>电力用煤从</w:t>
      </w:r>
      <w:r w:rsidR="006F76F6">
        <w:rPr>
          <w:rFonts w:hint="eastAsia"/>
          <w:sz w:val="28"/>
          <w:szCs w:val="28"/>
        </w:rPr>
        <w:t>50%</w:t>
      </w:r>
      <w:r w:rsidR="006F76F6">
        <w:rPr>
          <w:rFonts w:hint="eastAsia"/>
          <w:sz w:val="28"/>
          <w:szCs w:val="28"/>
        </w:rPr>
        <w:t>提高到</w:t>
      </w:r>
      <w:r w:rsidR="006F76F6">
        <w:rPr>
          <w:rFonts w:hint="eastAsia"/>
          <w:sz w:val="28"/>
          <w:szCs w:val="28"/>
        </w:rPr>
        <w:t>55%</w:t>
      </w:r>
      <w:r w:rsidR="006F76F6">
        <w:rPr>
          <w:rFonts w:hint="eastAsia"/>
          <w:sz w:val="28"/>
          <w:szCs w:val="28"/>
        </w:rPr>
        <w:t>以上</w:t>
      </w:r>
      <w:r w:rsidR="00F14520">
        <w:rPr>
          <w:rFonts w:hint="eastAsia"/>
          <w:sz w:val="28"/>
          <w:szCs w:val="28"/>
        </w:rPr>
        <w:t>（美国占</w:t>
      </w:r>
      <w:r w:rsidR="00F14520">
        <w:rPr>
          <w:rFonts w:hint="eastAsia"/>
          <w:sz w:val="28"/>
          <w:szCs w:val="28"/>
        </w:rPr>
        <w:t>90%</w:t>
      </w:r>
      <w:r w:rsidR="00F14520">
        <w:rPr>
          <w:rFonts w:hint="eastAsia"/>
          <w:sz w:val="28"/>
          <w:szCs w:val="28"/>
        </w:rPr>
        <w:t>以上，经济结构不同）</w:t>
      </w:r>
      <w:r w:rsidR="006F76F6">
        <w:rPr>
          <w:rFonts w:hint="eastAsia"/>
          <w:sz w:val="28"/>
          <w:szCs w:val="28"/>
        </w:rPr>
        <w:t>。散煤治理是打赢蓝天保卫战</w:t>
      </w:r>
      <w:r w:rsidR="00F14520">
        <w:rPr>
          <w:rFonts w:hint="eastAsia"/>
          <w:sz w:val="28"/>
          <w:szCs w:val="28"/>
        </w:rPr>
        <w:t>的</w:t>
      </w:r>
      <w:r w:rsidR="006F76F6">
        <w:rPr>
          <w:rFonts w:hint="eastAsia"/>
          <w:sz w:val="28"/>
          <w:szCs w:val="28"/>
        </w:rPr>
        <w:t>一</w:t>
      </w:r>
      <w:r w:rsidR="00AA1027">
        <w:rPr>
          <w:rFonts w:hint="eastAsia"/>
          <w:sz w:val="28"/>
          <w:szCs w:val="28"/>
        </w:rPr>
        <w:t>个重要方面，据专家测算，去年</w:t>
      </w:r>
      <w:r w:rsidR="006F76F6">
        <w:rPr>
          <w:rFonts w:hint="eastAsia"/>
          <w:sz w:val="28"/>
          <w:szCs w:val="28"/>
        </w:rPr>
        <w:t>冬季北京</w:t>
      </w:r>
      <w:r w:rsidR="006F76F6">
        <w:rPr>
          <w:rFonts w:hint="eastAsia"/>
          <w:sz w:val="28"/>
          <w:szCs w:val="28"/>
        </w:rPr>
        <w:t>PM2.5</w:t>
      </w:r>
      <w:r w:rsidR="006F76F6">
        <w:rPr>
          <w:rFonts w:hint="eastAsia"/>
          <w:sz w:val="28"/>
          <w:szCs w:val="28"/>
        </w:rPr>
        <w:t>浓度大幅降低，散煤治理的贡献率达</w:t>
      </w:r>
      <w:r w:rsidR="006F76F6">
        <w:rPr>
          <w:rFonts w:hint="eastAsia"/>
          <w:sz w:val="28"/>
          <w:szCs w:val="28"/>
        </w:rPr>
        <w:t>40%</w:t>
      </w:r>
      <w:r w:rsidR="006F76F6">
        <w:rPr>
          <w:rFonts w:hint="eastAsia"/>
          <w:sz w:val="28"/>
          <w:szCs w:val="28"/>
        </w:rPr>
        <w:t>左右，京津冀“</w:t>
      </w:r>
      <w:r w:rsidR="006F76F6">
        <w:rPr>
          <w:rFonts w:hint="eastAsia"/>
          <w:sz w:val="28"/>
          <w:szCs w:val="28"/>
        </w:rPr>
        <w:t>2+26</w:t>
      </w:r>
      <w:r w:rsidR="006F76F6">
        <w:rPr>
          <w:rFonts w:hint="eastAsia"/>
          <w:sz w:val="28"/>
          <w:szCs w:val="28"/>
        </w:rPr>
        <w:t>”市和</w:t>
      </w:r>
      <w:proofErr w:type="gramStart"/>
      <w:r w:rsidR="006F76F6">
        <w:rPr>
          <w:rFonts w:hint="eastAsia"/>
          <w:sz w:val="28"/>
          <w:szCs w:val="28"/>
        </w:rPr>
        <w:t>汾</w:t>
      </w:r>
      <w:proofErr w:type="gramEnd"/>
      <w:r w:rsidR="006F76F6">
        <w:rPr>
          <w:rFonts w:hint="eastAsia"/>
          <w:sz w:val="28"/>
          <w:szCs w:val="28"/>
        </w:rPr>
        <w:t>渭平原散煤消费约</w:t>
      </w:r>
      <w:r w:rsidR="006F76F6">
        <w:rPr>
          <w:rFonts w:hint="eastAsia"/>
          <w:sz w:val="28"/>
          <w:szCs w:val="28"/>
        </w:rPr>
        <w:t>6000</w:t>
      </w:r>
      <w:r w:rsidR="006F76F6">
        <w:rPr>
          <w:rFonts w:hint="eastAsia"/>
          <w:sz w:val="28"/>
          <w:szCs w:val="28"/>
        </w:rPr>
        <w:t>万吨，</w:t>
      </w:r>
      <w:r w:rsidR="002B6E66">
        <w:rPr>
          <w:rFonts w:hint="eastAsia"/>
          <w:sz w:val="28"/>
          <w:szCs w:val="28"/>
        </w:rPr>
        <w:t>1</w:t>
      </w:r>
      <w:r w:rsidR="002B6E66">
        <w:rPr>
          <w:rFonts w:hint="eastAsia"/>
          <w:sz w:val="28"/>
          <w:szCs w:val="28"/>
        </w:rPr>
        <w:t>吨散煤大气污染物排放量是</w:t>
      </w:r>
      <w:r w:rsidR="002B6E66">
        <w:rPr>
          <w:rFonts w:hint="eastAsia"/>
          <w:sz w:val="28"/>
          <w:szCs w:val="28"/>
        </w:rPr>
        <w:t>1</w:t>
      </w:r>
      <w:r w:rsidR="002B6E66">
        <w:rPr>
          <w:rFonts w:hint="eastAsia"/>
          <w:sz w:val="28"/>
          <w:szCs w:val="28"/>
        </w:rPr>
        <w:t>吨电煤的</w:t>
      </w:r>
      <w:r w:rsidR="002B6E66">
        <w:rPr>
          <w:rFonts w:hint="eastAsia"/>
          <w:sz w:val="28"/>
          <w:szCs w:val="28"/>
        </w:rPr>
        <w:t>10-15</w:t>
      </w:r>
      <w:r w:rsidR="002B6E66">
        <w:rPr>
          <w:rFonts w:hint="eastAsia"/>
          <w:sz w:val="28"/>
          <w:szCs w:val="28"/>
        </w:rPr>
        <w:t>倍。</w:t>
      </w:r>
      <w:r w:rsidR="00AA1027">
        <w:rPr>
          <w:rFonts w:hint="eastAsia"/>
          <w:sz w:val="28"/>
          <w:szCs w:val="28"/>
        </w:rPr>
        <w:t>《行动</w:t>
      </w:r>
      <w:r w:rsidR="002B6E66">
        <w:rPr>
          <w:rFonts w:hint="eastAsia"/>
          <w:sz w:val="28"/>
          <w:szCs w:val="28"/>
        </w:rPr>
        <w:t>计划</w:t>
      </w:r>
      <w:r w:rsidR="00AA1027">
        <w:rPr>
          <w:rFonts w:hint="eastAsia"/>
          <w:sz w:val="28"/>
          <w:szCs w:val="28"/>
        </w:rPr>
        <w:t>》</w:t>
      </w:r>
      <w:r w:rsidR="002B6E66">
        <w:rPr>
          <w:rFonts w:hint="eastAsia"/>
          <w:sz w:val="28"/>
          <w:szCs w:val="28"/>
        </w:rPr>
        <w:t>要求在</w:t>
      </w:r>
      <w:r w:rsidR="002B6E66">
        <w:rPr>
          <w:rFonts w:hint="eastAsia"/>
          <w:sz w:val="28"/>
          <w:szCs w:val="28"/>
        </w:rPr>
        <w:t>2020</w:t>
      </w:r>
      <w:r w:rsidR="002B6E66">
        <w:rPr>
          <w:rFonts w:hint="eastAsia"/>
          <w:sz w:val="28"/>
          <w:szCs w:val="28"/>
        </w:rPr>
        <w:t>年采暖季前，在保证能源供应的前提下，该两个重点地区基本完成生活和冬季取暖散煤替代。鉴于去</w:t>
      </w:r>
      <w:r w:rsidR="00AA1027">
        <w:rPr>
          <w:rFonts w:hint="eastAsia"/>
          <w:sz w:val="28"/>
          <w:szCs w:val="28"/>
        </w:rPr>
        <w:t>年</w:t>
      </w:r>
      <w:r w:rsidR="002B6E66">
        <w:rPr>
          <w:rFonts w:hint="eastAsia"/>
          <w:sz w:val="28"/>
          <w:szCs w:val="28"/>
        </w:rPr>
        <w:t>冬季京津冀及周边地区推行大规模“煤改气”工程，由于河北、山西、陕西等省出现天然气供应不足，煤气管道铺设跟不上等情况，导致大批群众三</w:t>
      </w:r>
      <w:r w:rsidR="002B6E66">
        <w:rPr>
          <w:rFonts w:hint="eastAsia"/>
          <w:sz w:val="28"/>
          <w:szCs w:val="28"/>
        </w:rPr>
        <w:lastRenderedPageBreak/>
        <w:t>九天</w:t>
      </w:r>
      <w:r w:rsidR="002924D3">
        <w:rPr>
          <w:rFonts w:hint="eastAsia"/>
          <w:sz w:val="28"/>
          <w:szCs w:val="28"/>
        </w:rPr>
        <w:t>受冻。《行动计划》指出，在技术路线上，坚持从实际出发，</w:t>
      </w:r>
      <w:proofErr w:type="gramStart"/>
      <w:r w:rsidR="002924D3">
        <w:rPr>
          <w:rFonts w:hint="eastAsia"/>
          <w:sz w:val="28"/>
          <w:szCs w:val="28"/>
        </w:rPr>
        <w:t>宜电则</w:t>
      </w:r>
      <w:proofErr w:type="gramEnd"/>
      <w:r w:rsidR="002924D3">
        <w:rPr>
          <w:rFonts w:hint="eastAsia"/>
          <w:sz w:val="28"/>
          <w:szCs w:val="28"/>
        </w:rPr>
        <w:t>电、宜气则气，</w:t>
      </w:r>
      <w:proofErr w:type="gramStart"/>
      <w:r w:rsidR="002924D3">
        <w:rPr>
          <w:rFonts w:hint="eastAsia"/>
          <w:sz w:val="28"/>
          <w:szCs w:val="28"/>
        </w:rPr>
        <w:t>宜煤则</w:t>
      </w:r>
      <w:proofErr w:type="gramEnd"/>
      <w:r w:rsidR="002924D3">
        <w:rPr>
          <w:rFonts w:hint="eastAsia"/>
          <w:sz w:val="28"/>
          <w:szCs w:val="28"/>
        </w:rPr>
        <w:t>煤、宜热则热，因地制宜选择采取多样化清洁能源取暖方式，不限于“煤改气”。“煤改气”也要坚持“以气定改”。</w:t>
      </w:r>
    </w:p>
    <w:p w:rsidR="00CC303D" w:rsidRDefault="00CC303D" w:rsidP="00EE72A8">
      <w:pPr>
        <w:ind w:firstLineChars="200" w:firstLine="560"/>
        <w:rPr>
          <w:sz w:val="28"/>
          <w:szCs w:val="28"/>
        </w:rPr>
      </w:pPr>
      <w:r>
        <w:rPr>
          <w:rFonts w:hint="eastAsia"/>
          <w:sz w:val="28"/>
          <w:szCs w:val="28"/>
        </w:rPr>
        <w:t>环境执法督查是必要的，成绩也是明显的，总结经验教训，改正错误决策</w:t>
      </w:r>
      <w:r w:rsidR="00F267D8">
        <w:rPr>
          <w:rFonts w:hint="eastAsia"/>
          <w:sz w:val="28"/>
          <w:szCs w:val="28"/>
        </w:rPr>
        <w:t>更</w:t>
      </w:r>
      <w:r>
        <w:rPr>
          <w:rFonts w:hint="eastAsia"/>
          <w:sz w:val="28"/>
          <w:szCs w:val="28"/>
        </w:rPr>
        <w:t>好，是负责任的表现。但能否作进一步的思考和选择</w:t>
      </w:r>
      <w:r w:rsidR="00E60BE5">
        <w:rPr>
          <w:rFonts w:hint="eastAsia"/>
          <w:sz w:val="28"/>
          <w:szCs w:val="28"/>
        </w:rPr>
        <w:t>，则是打赢蓝天保卫战的关键</w:t>
      </w:r>
      <w:r>
        <w:rPr>
          <w:rFonts w:hint="eastAsia"/>
          <w:sz w:val="28"/>
          <w:szCs w:val="28"/>
        </w:rPr>
        <w:t>。</w:t>
      </w:r>
    </w:p>
    <w:p w:rsidR="00E60BE5" w:rsidRDefault="00E60BE5" w:rsidP="00EE72A8">
      <w:pPr>
        <w:ind w:firstLineChars="200" w:firstLine="560"/>
        <w:rPr>
          <w:sz w:val="28"/>
          <w:szCs w:val="28"/>
        </w:rPr>
      </w:pPr>
      <w:r>
        <w:rPr>
          <w:rFonts w:hint="eastAsia"/>
          <w:sz w:val="28"/>
          <w:szCs w:val="28"/>
        </w:rPr>
        <w:t>首先，生态环境没有替代品，有之不觉，</w:t>
      </w:r>
      <w:r w:rsidR="00540057">
        <w:rPr>
          <w:rFonts w:hint="eastAsia"/>
          <w:sz w:val="28"/>
          <w:szCs w:val="28"/>
        </w:rPr>
        <w:t>用之不察，</w:t>
      </w:r>
      <w:r>
        <w:rPr>
          <w:rFonts w:hint="eastAsia"/>
          <w:sz w:val="28"/>
          <w:szCs w:val="28"/>
        </w:rPr>
        <w:t>失之难</w:t>
      </w:r>
      <w:r w:rsidR="00540057">
        <w:rPr>
          <w:rFonts w:hint="eastAsia"/>
          <w:sz w:val="28"/>
          <w:szCs w:val="28"/>
        </w:rPr>
        <w:t>存，毁之难</w:t>
      </w:r>
      <w:r>
        <w:rPr>
          <w:rFonts w:hint="eastAsia"/>
          <w:sz w:val="28"/>
          <w:szCs w:val="28"/>
        </w:rPr>
        <w:t>复。因此，生态保护和环境治理是一件日积月累、持之以恒、深入细致、常备不懈的大</w:t>
      </w:r>
      <w:r w:rsidR="00D0043F">
        <w:rPr>
          <w:rFonts w:hint="eastAsia"/>
          <w:sz w:val="28"/>
          <w:szCs w:val="28"/>
        </w:rPr>
        <w:t>事</w:t>
      </w:r>
      <w:r>
        <w:rPr>
          <w:rFonts w:hint="eastAsia"/>
          <w:sz w:val="28"/>
          <w:szCs w:val="28"/>
        </w:rPr>
        <w:t>，不仅要解决各级官员和广大群众的思想和认识问题，而且要建立一套有效的制度规则</w:t>
      </w:r>
      <w:r w:rsidR="00540057">
        <w:rPr>
          <w:rFonts w:hint="eastAsia"/>
          <w:sz w:val="28"/>
          <w:szCs w:val="28"/>
        </w:rPr>
        <w:t>。就以官员的任期、考核和问责而论，生态环境也许比什么都重要，把搞好生态环境变成自己的需要而不是上级的要求。</w:t>
      </w:r>
      <w:r w:rsidR="00D0043F">
        <w:rPr>
          <w:rFonts w:hint="eastAsia"/>
          <w:sz w:val="28"/>
          <w:szCs w:val="28"/>
        </w:rPr>
        <w:t>但是，现行的制度规则鼓励追求短期经济发展和任期内的政绩，地方主政领导和官员不支持甚至限制环境监管，把环境部门的监管行动看作是“破坏投资环境”。有的为了招商引资，把大企业当成“香饽饽”和“摇钱树”，对其环境要求也放得很宽，管得很松，</w:t>
      </w:r>
      <w:r w:rsidR="005B2DB6">
        <w:rPr>
          <w:rFonts w:hint="eastAsia"/>
          <w:sz w:val="28"/>
          <w:szCs w:val="28"/>
        </w:rPr>
        <w:t>一些企业也为了降低成本，追求利润的最大化，放弃自己的环境责任，甚至在非法偷排上“打主意”、“下功夫”。在这种地方保护主义盛行的地方，甚至形成了大企业的排污特权。因此，如何着眼于长期可持续发展来修改完善我们的制度规则可能更为重要。</w:t>
      </w:r>
    </w:p>
    <w:p w:rsidR="005B2DB6" w:rsidRDefault="005B2DB6" w:rsidP="00EE72A8">
      <w:pPr>
        <w:ind w:firstLineChars="200" w:firstLine="560"/>
        <w:rPr>
          <w:sz w:val="28"/>
          <w:szCs w:val="28"/>
        </w:rPr>
      </w:pPr>
      <w:r>
        <w:rPr>
          <w:rFonts w:hint="eastAsia"/>
          <w:sz w:val="28"/>
          <w:szCs w:val="28"/>
        </w:rPr>
        <w:t>其次，</w:t>
      </w:r>
      <w:r w:rsidR="00753AD0">
        <w:rPr>
          <w:rFonts w:hint="eastAsia"/>
          <w:sz w:val="28"/>
          <w:szCs w:val="28"/>
        </w:rPr>
        <w:t>环境督查是必要的</w:t>
      </w:r>
      <w:r w:rsidR="000D47B5">
        <w:rPr>
          <w:rFonts w:hint="eastAsia"/>
          <w:sz w:val="28"/>
          <w:szCs w:val="28"/>
        </w:rPr>
        <w:t>和重要的，特别是在三年环境保卫战的</w:t>
      </w:r>
      <w:r w:rsidR="000D47B5">
        <w:rPr>
          <w:rFonts w:hint="eastAsia"/>
          <w:sz w:val="28"/>
          <w:szCs w:val="28"/>
        </w:rPr>
        <w:lastRenderedPageBreak/>
        <w:t>过程中。但是，我们将其变成了最</w:t>
      </w:r>
      <w:r w:rsidR="00753AD0">
        <w:rPr>
          <w:rFonts w:hint="eastAsia"/>
          <w:sz w:val="28"/>
          <w:szCs w:val="28"/>
        </w:rPr>
        <w:t>主</w:t>
      </w:r>
      <w:r w:rsidR="000D47B5">
        <w:rPr>
          <w:rFonts w:hint="eastAsia"/>
          <w:sz w:val="28"/>
          <w:szCs w:val="28"/>
        </w:rPr>
        <w:t>要的行政手</w:t>
      </w:r>
      <w:r w:rsidR="00753AD0">
        <w:rPr>
          <w:rFonts w:hint="eastAsia"/>
          <w:sz w:val="28"/>
          <w:szCs w:val="28"/>
        </w:rPr>
        <w:t>段和治理方式。国务院甚至全面启动大督查，涉及全部工作的六大方面。</w:t>
      </w:r>
      <w:r w:rsidR="000D47B5">
        <w:rPr>
          <w:rFonts w:hint="eastAsia"/>
          <w:sz w:val="28"/>
          <w:szCs w:val="28"/>
        </w:rPr>
        <w:t>从国务院彰显和实施自己的督察权来看，的确是必要的。但督查只是一种自上而下的行政行为，其效应是有局限性的，现在动员</w:t>
      </w:r>
      <w:r w:rsidR="000D47B5">
        <w:rPr>
          <w:rFonts w:hint="eastAsia"/>
          <w:sz w:val="28"/>
          <w:szCs w:val="28"/>
        </w:rPr>
        <w:t>1.8</w:t>
      </w:r>
      <w:r w:rsidR="000D47B5">
        <w:rPr>
          <w:rFonts w:hint="eastAsia"/>
          <w:sz w:val="28"/>
          <w:szCs w:val="28"/>
        </w:rPr>
        <w:t>万人，就是</w:t>
      </w:r>
      <w:r w:rsidR="000D47B5">
        <w:rPr>
          <w:rFonts w:hint="eastAsia"/>
          <w:sz w:val="28"/>
          <w:szCs w:val="28"/>
        </w:rPr>
        <w:t xml:space="preserve">18 </w:t>
      </w:r>
      <w:r w:rsidR="000D47B5">
        <w:rPr>
          <w:rFonts w:hint="eastAsia"/>
          <w:sz w:val="28"/>
          <w:szCs w:val="28"/>
        </w:rPr>
        <w:t>万、</w:t>
      </w:r>
      <w:r w:rsidR="000D47B5">
        <w:rPr>
          <w:rFonts w:hint="eastAsia"/>
          <w:sz w:val="28"/>
          <w:szCs w:val="28"/>
        </w:rPr>
        <w:t>180</w:t>
      </w:r>
      <w:r w:rsidR="000D47B5">
        <w:rPr>
          <w:rFonts w:hint="eastAsia"/>
          <w:sz w:val="28"/>
          <w:szCs w:val="28"/>
        </w:rPr>
        <w:t>万人，也还是少数。</w:t>
      </w:r>
      <w:r w:rsidR="00EB2EB6">
        <w:rPr>
          <w:rFonts w:hint="eastAsia"/>
          <w:sz w:val="28"/>
          <w:szCs w:val="28"/>
        </w:rPr>
        <w:t>如何形成各种社会机构和团体以及广大群众的日常监督可能更为重要。因此，不仅要让各种民间机构自主建立和自由发展，而且要支持他们的正当活动。对此，笔者曾有亲身经验，</w:t>
      </w:r>
      <w:r w:rsidR="00EB2EB6">
        <w:rPr>
          <w:rFonts w:hint="eastAsia"/>
          <w:sz w:val="28"/>
          <w:szCs w:val="28"/>
        </w:rPr>
        <w:t>1997</w:t>
      </w:r>
      <w:r w:rsidR="00EB2EB6">
        <w:rPr>
          <w:rFonts w:hint="eastAsia"/>
          <w:sz w:val="28"/>
          <w:szCs w:val="28"/>
        </w:rPr>
        <w:t>年，</w:t>
      </w:r>
      <w:r w:rsidR="0099580B">
        <w:rPr>
          <w:rFonts w:hint="eastAsia"/>
          <w:sz w:val="28"/>
          <w:szCs w:val="28"/>
        </w:rPr>
        <w:t>在</w:t>
      </w:r>
      <w:r w:rsidR="00682A1D">
        <w:rPr>
          <w:rFonts w:hint="eastAsia"/>
          <w:sz w:val="28"/>
          <w:szCs w:val="28"/>
        </w:rPr>
        <w:t>时任</w:t>
      </w:r>
      <w:r w:rsidR="0099580B">
        <w:rPr>
          <w:rFonts w:hint="eastAsia"/>
          <w:sz w:val="28"/>
          <w:szCs w:val="28"/>
        </w:rPr>
        <w:t>国务院最高领导和有关部门支持下</w:t>
      </w:r>
      <w:r w:rsidR="00682A1D">
        <w:rPr>
          <w:rFonts w:hint="eastAsia"/>
          <w:sz w:val="28"/>
          <w:szCs w:val="28"/>
        </w:rPr>
        <w:t>，南海大化肥</w:t>
      </w:r>
      <w:r w:rsidR="00EB2EB6">
        <w:rPr>
          <w:rFonts w:hint="eastAsia"/>
          <w:sz w:val="28"/>
          <w:szCs w:val="28"/>
        </w:rPr>
        <w:t>要在三亚附近建厂上马，</w:t>
      </w:r>
      <w:r w:rsidR="0099580B">
        <w:rPr>
          <w:rFonts w:hint="eastAsia"/>
          <w:sz w:val="28"/>
          <w:szCs w:val="28"/>
        </w:rPr>
        <w:t>有关人士找到“自然之友”，请其出面设法阻止和纠正之事，它说“我只管得了金丝猴，管不了大化肥”</w:t>
      </w:r>
      <w:r w:rsidR="00072D77">
        <w:rPr>
          <w:rFonts w:hint="eastAsia"/>
          <w:sz w:val="28"/>
          <w:szCs w:val="28"/>
        </w:rPr>
        <w:t>，最后是一家</w:t>
      </w:r>
      <w:r w:rsidR="00072D77">
        <w:rPr>
          <w:rFonts w:hint="eastAsia"/>
          <w:sz w:val="28"/>
          <w:szCs w:val="28"/>
        </w:rPr>
        <w:t>NGO</w:t>
      </w:r>
      <w:r w:rsidR="00072D77">
        <w:rPr>
          <w:rFonts w:hint="eastAsia"/>
          <w:sz w:val="28"/>
          <w:szCs w:val="28"/>
        </w:rPr>
        <w:t>组织动员各方面力量，体制内和体制外结合，把大化肥厂移址洋</w:t>
      </w:r>
      <w:proofErr w:type="gramStart"/>
      <w:r w:rsidR="00072D77">
        <w:rPr>
          <w:rFonts w:hint="eastAsia"/>
          <w:sz w:val="28"/>
          <w:szCs w:val="28"/>
        </w:rPr>
        <w:t>埔</w:t>
      </w:r>
      <w:proofErr w:type="gramEnd"/>
      <w:r w:rsidR="00072D77">
        <w:rPr>
          <w:rFonts w:hint="eastAsia"/>
          <w:sz w:val="28"/>
          <w:szCs w:val="28"/>
        </w:rPr>
        <w:t>建厂</w:t>
      </w:r>
      <w:r w:rsidR="0099580B">
        <w:rPr>
          <w:rFonts w:hint="eastAsia"/>
          <w:sz w:val="28"/>
          <w:szCs w:val="28"/>
        </w:rPr>
        <w:t>。如果要真正形成社会监督和群众治理，除了宣传教育以外，实际行动可能更加重要，这些年发生了多起</w:t>
      </w:r>
      <w:r w:rsidR="00682A1D">
        <w:rPr>
          <w:rFonts w:hint="eastAsia"/>
          <w:sz w:val="28"/>
          <w:szCs w:val="28"/>
        </w:rPr>
        <w:t>恶性</w:t>
      </w:r>
      <w:r w:rsidR="0099580B">
        <w:rPr>
          <w:rFonts w:hint="eastAsia"/>
          <w:sz w:val="28"/>
          <w:szCs w:val="28"/>
        </w:rPr>
        <w:t>环境事件，为了所谓维稳，</w:t>
      </w:r>
      <w:r w:rsidR="00682A1D">
        <w:rPr>
          <w:rFonts w:hint="eastAsia"/>
          <w:sz w:val="28"/>
          <w:szCs w:val="28"/>
        </w:rPr>
        <w:t>我们往往掩盖为先，掩盖不住，则</w:t>
      </w:r>
      <w:r w:rsidR="0099580B">
        <w:rPr>
          <w:rFonts w:hint="eastAsia"/>
          <w:sz w:val="28"/>
          <w:szCs w:val="28"/>
        </w:rPr>
        <w:t>大事化小，小事化了，不了了之。</w:t>
      </w:r>
      <w:r w:rsidR="00FE0832">
        <w:rPr>
          <w:rFonts w:hint="eastAsia"/>
          <w:sz w:val="28"/>
          <w:szCs w:val="28"/>
        </w:rPr>
        <w:t>有几个官员被</w:t>
      </w:r>
      <w:r w:rsidR="00682A1D">
        <w:rPr>
          <w:rFonts w:hint="eastAsia"/>
          <w:sz w:val="28"/>
          <w:szCs w:val="28"/>
        </w:rPr>
        <w:t>查处</w:t>
      </w:r>
      <w:r w:rsidR="00FE0832">
        <w:rPr>
          <w:rFonts w:hint="eastAsia"/>
          <w:sz w:val="28"/>
          <w:szCs w:val="28"/>
        </w:rPr>
        <w:t>问责，有几个当事人被判刑，有几件环境事件大张旗鼓地处理和宣传，让全社会知晓、警</w:t>
      </w:r>
      <w:r w:rsidR="00682A1D">
        <w:rPr>
          <w:rFonts w:hint="eastAsia"/>
          <w:sz w:val="28"/>
          <w:szCs w:val="28"/>
        </w:rPr>
        <w:t>示</w:t>
      </w:r>
      <w:r w:rsidR="00FE0832">
        <w:rPr>
          <w:rFonts w:hint="eastAsia"/>
          <w:sz w:val="28"/>
          <w:szCs w:val="28"/>
        </w:rPr>
        <w:t>和反思</w:t>
      </w:r>
      <w:r w:rsidR="00682A1D">
        <w:rPr>
          <w:rFonts w:hint="eastAsia"/>
          <w:sz w:val="28"/>
          <w:szCs w:val="28"/>
        </w:rPr>
        <w:t>？</w:t>
      </w:r>
      <w:r w:rsidR="00FE0832">
        <w:rPr>
          <w:rFonts w:hint="eastAsia"/>
          <w:sz w:val="28"/>
          <w:szCs w:val="28"/>
        </w:rPr>
        <w:t>相反，有不少为此执言仗义、奔走呼号</w:t>
      </w:r>
      <w:r w:rsidR="000D1255">
        <w:rPr>
          <w:rFonts w:hint="eastAsia"/>
          <w:sz w:val="28"/>
          <w:szCs w:val="28"/>
        </w:rPr>
        <w:t>的记者和人</w:t>
      </w:r>
      <w:r w:rsidR="00FE0832">
        <w:rPr>
          <w:rFonts w:hint="eastAsia"/>
          <w:sz w:val="28"/>
          <w:szCs w:val="28"/>
        </w:rPr>
        <w:t>士受到排斥、打击。</w:t>
      </w:r>
      <w:r w:rsidR="000D1255">
        <w:rPr>
          <w:rFonts w:hint="eastAsia"/>
          <w:sz w:val="28"/>
          <w:szCs w:val="28"/>
        </w:rPr>
        <w:t>最近网上报道，中国调查记者从</w:t>
      </w:r>
      <w:r w:rsidR="000D1255">
        <w:rPr>
          <w:rFonts w:hint="eastAsia"/>
          <w:sz w:val="28"/>
          <w:szCs w:val="28"/>
        </w:rPr>
        <w:t>6</w:t>
      </w:r>
      <w:r w:rsidR="000D1255">
        <w:rPr>
          <w:rFonts w:hint="eastAsia"/>
          <w:sz w:val="28"/>
          <w:szCs w:val="28"/>
        </w:rPr>
        <w:t>年前的</w:t>
      </w:r>
      <w:r w:rsidR="000D1255">
        <w:rPr>
          <w:rFonts w:hint="eastAsia"/>
          <w:sz w:val="28"/>
          <w:szCs w:val="28"/>
        </w:rPr>
        <w:t>305</w:t>
      </w:r>
      <w:r w:rsidR="000D1255">
        <w:rPr>
          <w:rFonts w:hint="eastAsia"/>
          <w:sz w:val="28"/>
          <w:szCs w:val="28"/>
        </w:rPr>
        <w:t>人减少到</w:t>
      </w:r>
      <w:r w:rsidR="000D1255">
        <w:rPr>
          <w:rFonts w:hint="eastAsia"/>
          <w:sz w:val="28"/>
          <w:szCs w:val="28"/>
        </w:rPr>
        <w:t>175</w:t>
      </w:r>
      <w:r w:rsidR="000D1255">
        <w:rPr>
          <w:rFonts w:hint="eastAsia"/>
          <w:sz w:val="28"/>
          <w:szCs w:val="28"/>
        </w:rPr>
        <w:t>人，并列举了</w:t>
      </w:r>
      <w:r w:rsidR="000D1255">
        <w:rPr>
          <w:rFonts w:hint="eastAsia"/>
          <w:sz w:val="28"/>
          <w:szCs w:val="28"/>
        </w:rPr>
        <w:t>15</w:t>
      </w:r>
      <w:r w:rsidR="000D1255">
        <w:rPr>
          <w:rFonts w:hint="eastAsia"/>
          <w:sz w:val="28"/>
          <w:szCs w:val="28"/>
        </w:rPr>
        <w:t>个记者因揭露社会问题而遭到打击报复的案例，其中与环境有关的案例有，</w:t>
      </w:r>
      <w:r w:rsidR="0088066F">
        <w:rPr>
          <w:rFonts w:hint="eastAsia"/>
          <w:sz w:val="28"/>
          <w:szCs w:val="28"/>
        </w:rPr>
        <w:t>《山西青年报》记者高勤荣因揭露山西运城渗灌工程造假被判刑</w:t>
      </w:r>
      <w:r w:rsidR="0088066F">
        <w:rPr>
          <w:rFonts w:hint="eastAsia"/>
          <w:sz w:val="28"/>
          <w:szCs w:val="28"/>
        </w:rPr>
        <w:t>12</w:t>
      </w:r>
      <w:r w:rsidR="0088066F">
        <w:rPr>
          <w:rFonts w:hint="eastAsia"/>
          <w:sz w:val="28"/>
          <w:szCs w:val="28"/>
        </w:rPr>
        <w:t>年，王克勤因《北京暴雨失踪者》一文，《经济观察报》调查部被解散，王本人被迫离职。至于</w:t>
      </w:r>
      <w:proofErr w:type="gramStart"/>
      <w:r w:rsidR="0088066F">
        <w:rPr>
          <w:rFonts w:hint="eastAsia"/>
          <w:sz w:val="28"/>
          <w:szCs w:val="28"/>
        </w:rPr>
        <w:t>像</w:t>
      </w:r>
      <w:r w:rsidR="00FE0832">
        <w:rPr>
          <w:rFonts w:hint="eastAsia"/>
          <w:sz w:val="28"/>
          <w:szCs w:val="28"/>
        </w:rPr>
        <w:t>山</w:t>
      </w:r>
      <w:proofErr w:type="gramEnd"/>
      <w:r w:rsidR="00FE0832">
        <w:rPr>
          <w:rFonts w:hint="eastAsia"/>
          <w:sz w:val="28"/>
          <w:szCs w:val="28"/>
        </w:rPr>
        <w:t>西的疫苗事件，河南的艾兹</w:t>
      </w:r>
      <w:r w:rsidR="00FE0832">
        <w:rPr>
          <w:rFonts w:hint="eastAsia"/>
          <w:sz w:val="28"/>
          <w:szCs w:val="28"/>
        </w:rPr>
        <w:lastRenderedPageBreak/>
        <w:t>病血液事件</w:t>
      </w:r>
      <w:r w:rsidR="0088066F">
        <w:rPr>
          <w:rFonts w:hint="eastAsia"/>
          <w:sz w:val="28"/>
          <w:szCs w:val="28"/>
        </w:rPr>
        <w:t>、三鹿奶粉事件</w:t>
      </w:r>
      <w:r w:rsidR="00FE0832">
        <w:rPr>
          <w:rFonts w:hint="eastAsia"/>
          <w:sz w:val="28"/>
          <w:szCs w:val="28"/>
        </w:rPr>
        <w:t>等</w:t>
      </w:r>
      <w:r w:rsidR="0088066F">
        <w:rPr>
          <w:rFonts w:hint="eastAsia"/>
          <w:sz w:val="28"/>
          <w:szCs w:val="28"/>
        </w:rPr>
        <w:t>都</w:t>
      </w:r>
      <w:r w:rsidR="005A00B8">
        <w:rPr>
          <w:rFonts w:hint="eastAsia"/>
          <w:sz w:val="28"/>
          <w:szCs w:val="28"/>
        </w:rPr>
        <w:t>是如此，结果是危害继续蔓延和发展，甚至再次发生，最近的疫苗事件就是证明。</w:t>
      </w:r>
      <w:r w:rsidR="00753AD0">
        <w:rPr>
          <w:rFonts w:hint="eastAsia"/>
          <w:sz w:val="28"/>
          <w:szCs w:val="28"/>
        </w:rPr>
        <w:t>就是“煤改气”事件，如果不从根本制度和行为方式上解决问题，还会发生别的类似事件。</w:t>
      </w:r>
      <w:r w:rsidR="00753AD0">
        <w:rPr>
          <w:rFonts w:hint="eastAsia"/>
          <w:sz w:val="28"/>
          <w:szCs w:val="28"/>
        </w:rPr>
        <w:t xml:space="preserve"> </w:t>
      </w:r>
    </w:p>
    <w:p w:rsidR="00682A1D" w:rsidRDefault="00682A1D" w:rsidP="002A1A62">
      <w:pPr>
        <w:rPr>
          <w:sz w:val="28"/>
          <w:szCs w:val="28"/>
        </w:rPr>
      </w:pPr>
    </w:p>
    <w:p w:rsidR="002A1A62" w:rsidRPr="0042258A" w:rsidRDefault="002A1A62" w:rsidP="0042258A">
      <w:pPr>
        <w:jc w:val="center"/>
        <w:rPr>
          <w:b/>
          <w:sz w:val="28"/>
          <w:szCs w:val="28"/>
        </w:rPr>
      </w:pPr>
      <w:r w:rsidRPr="0042258A">
        <w:rPr>
          <w:rFonts w:hint="eastAsia"/>
          <w:b/>
          <w:sz w:val="28"/>
          <w:szCs w:val="28"/>
        </w:rPr>
        <w:t>四，体制分析</w:t>
      </w:r>
    </w:p>
    <w:p w:rsidR="002A1A62" w:rsidRDefault="002A1A62" w:rsidP="002A1A62">
      <w:pPr>
        <w:rPr>
          <w:sz w:val="28"/>
          <w:szCs w:val="28"/>
        </w:rPr>
      </w:pPr>
    </w:p>
    <w:p w:rsidR="00F267D8" w:rsidRDefault="006C0267" w:rsidP="00EE72A8">
      <w:pPr>
        <w:ind w:firstLineChars="200" w:firstLine="560"/>
        <w:rPr>
          <w:sz w:val="28"/>
          <w:szCs w:val="28"/>
        </w:rPr>
      </w:pPr>
      <w:r>
        <w:rPr>
          <w:rFonts w:hint="eastAsia"/>
          <w:sz w:val="28"/>
          <w:szCs w:val="28"/>
        </w:rPr>
        <w:t>在第</w:t>
      </w:r>
      <w:r>
        <w:rPr>
          <w:rFonts w:hint="eastAsia"/>
          <w:sz w:val="28"/>
          <w:szCs w:val="28"/>
        </w:rPr>
        <w:t>1</w:t>
      </w:r>
      <w:r>
        <w:rPr>
          <w:rFonts w:hint="eastAsia"/>
          <w:sz w:val="28"/>
          <w:szCs w:val="28"/>
        </w:rPr>
        <w:t>季度宏观经济分析中，我们专门讨论了中美贸易摩擦，由于事态的发展，贸易</w:t>
      </w:r>
      <w:r w:rsidR="00753AD0">
        <w:rPr>
          <w:rFonts w:hint="eastAsia"/>
          <w:sz w:val="28"/>
          <w:szCs w:val="28"/>
        </w:rPr>
        <w:t>战</w:t>
      </w:r>
      <w:r>
        <w:rPr>
          <w:rFonts w:hint="eastAsia"/>
          <w:sz w:val="28"/>
          <w:szCs w:val="28"/>
        </w:rPr>
        <w:t>已经打响，因而需要进一步讨论。</w:t>
      </w:r>
    </w:p>
    <w:p w:rsidR="00753AD0" w:rsidRDefault="00753AD0" w:rsidP="00EE72A8">
      <w:pPr>
        <w:ind w:firstLineChars="200" w:firstLine="560"/>
        <w:rPr>
          <w:sz w:val="28"/>
          <w:szCs w:val="28"/>
        </w:rPr>
      </w:pPr>
    </w:p>
    <w:p w:rsidR="003A4032" w:rsidRPr="003A4032" w:rsidRDefault="003A4032" w:rsidP="003A4032">
      <w:pPr>
        <w:pStyle w:val="a5"/>
        <w:numPr>
          <w:ilvl w:val="0"/>
          <w:numId w:val="2"/>
        </w:numPr>
        <w:ind w:firstLineChars="0"/>
        <w:rPr>
          <w:sz w:val="28"/>
          <w:szCs w:val="28"/>
        </w:rPr>
      </w:pPr>
      <w:r w:rsidRPr="003A4032">
        <w:rPr>
          <w:rFonts w:hint="eastAsia"/>
          <w:sz w:val="28"/>
          <w:szCs w:val="28"/>
        </w:rPr>
        <w:t>贸易战的情况</w:t>
      </w:r>
    </w:p>
    <w:p w:rsidR="003A4032" w:rsidRDefault="003A4032" w:rsidP="003A4032">
      <w:pPr>
        <w:ind w:firstLineChars="200" w:firstLine="560"/>
        <w:rPr>
          <w:sz w:val="28"/>
          <w:szCs w:val="28"/>
        </w:rPr>
      </w:pPr>
      <w:r w:rsidRPr="003A4032">
        <w:rPr>
          <w:rFonts w:hint="eastAsia"/>
          <w:sz w:val="28"/>
          <w:szCs w:val="28"/>
        </w:rPr>
        <w:t>在贸易争端的发展过程，中美两国开始了贸易谈判。</w:t>
      </w:r>
      <w:r w:rsidRPr="003A4032">
        <w:rPr>
          <w:rFonts w:hint="eastAsia"/>
          <w:sz w:val="28"/>
          <w:szCs w:val="28"/>
        </w:rPr>
        <w:t>5</w:t>
      </w:r>
      <w:r w:rsidRPr="003A4032">
        <w:rPr>
          <w:rFonts w:hint="eastAsia"/>
          <w:sz w:val="28"/>
          <w:szCs w:val="28"/>
        </w:rPr>
        <w:t>月</w:t>
      </w:r>
      <w:r w:rsidRPr="003A4032">
        <w:rPr>
          <w:rFonts w:hint="eastAsia"/>
          <w:sz w:val="28"/>
          <w:szCs w:val="28"/>
        </w:rPr>
        <w:t>3</w:t>
      </w:r>
      <w:r w:rsidR="00511468">
        <w:rPr>
          <w:rFonts w:hint="eastAsia"/>
          <w:sz w:val="28"/>
          <w:szCs w:val="28"/>
        </w:rPr>
        <w:t>和</w:t>
      </w:r>
      <w:r w:rsidRPr="003A4032">
        <w:rPr>
          <w:rFonts w:hint="eastAsia"/>
          <w:sz w:val="28"/>
          <w:szCs w:val="28"/>
        </w:rPr>
        <w:t>4</w:t>
      </w:r>
      <w:r w:rsidRPr="003A4032">
        <w:rPr>
          <w:rFonts w:hint="eastAsia"/>
          <w:sz w:val="28"/>
          <w:szCs w:val="28"/>
        </w:rPr>
        <w:t>日，中美两国代表在北京进行了第一轮磋商，</w:t>
      </w:r>
      <w:r w:rsidR="00A71B4F">
        <w:rPr>
          <w:rFonts w:hint="eastAsia"/>
          <w:sz w:val="28"/>
          <w:szCs w:val="28"/>
        </w:rPr>
        <w:t>5</w:t>
      </w:r>
      <w:r w:rsidR="00A71B4F">
        <w:rPr>
          <w:rFonts w:hint="eastAsia"/>
          <w:sz w:val="28"/>
          <w:szCs w:val="28"/>
        </w:rPr>
        <w:t>月</w:t>
      </w:r>
      <w:r w:rsidR="00A71B4F">
        <w:rPr>
          <w:rFonts w:hint="eastAsia"/>
          <w:sz w:val="28"/>
          <w:szCs w:val="28"/>
        </w:rPr>
        <w:t>15-19</w:t>
      </w:r>
      <w:r w:rsidR="00A71B4F">
        <w:rPr>
          <w:rFonts w:hint="eastAsia"/>
          <w:sz w:val="28"/>
          <w:szCs w:val="28"/>
        </w:rPr>
        <w:t>日，转场</w:t>
      </w:r>
      <w:r w:rsidR="00072D77">
        <w:rPr>
          <w:rFonts w:hint="eastAsia"/>
          <w:sz w:val="28"/>
          <w:szCs w:val="28"/>
        </w:rPr>
        <w:t>到</w:t>
      </w:r>
      <w:r w:rsidR="00A71B4F">
        <w:rPr>
          <w:rFonts w:hint="eastAsia"/>
          <w:sz w:val="28"/>
          <w:szCs w:val="28"/>
        </w:rPr>
        <w:t>华盛顿进一步磋商，并发表了不到</w:t>
      </w:r>
      <w:r w:rsidR="00A71B4F">
        <w:rPr>
          <w:rFonts w:hint="eastAsia"/>
          <w:sz w:val="28"/>
          <w:szCs w:val="28"/>
        </w:rPr>
        <w:t>400</w:t>
      </w:r>
      <w:r w:rsidR="00A71B4F">
        <w:rPr>
          <w:rFonts w:hint="eastAsia"/>
          <w:sz w:val="28"/>
          <w:szCs w:val="28"/>
        </w:rPr>
        <w:t>字的联合声明</w:t>
      </w:r>
      <w:r w:rsidR="00511468">
        <w:rPr>
          <w:rFonts w:hint="eastAsia"/>
          <w:sz w:val="28"/>
          <w:szCs w:val="28"/>
        </w:rPr>
        <w:t>。中方牵头人刘</w:t>
      </w:r>
      <w:proofErr w:type="gramStart"/>
      <w:r w:rsidR="00511468">
        <w:rPr>
          <w:rFonts w:hint="eastAsia"/>
          <w:sz w:val="28"/>
          <w:szCs w:val="28"/>
        </w:rPr>
        <w:t>鹤接受</w:t>
      </w:r>
      <w:proofErr w:type="gramEnd"/>
      <w:r w:rsidR="00511468">
        <w:rPr>
          <w:rFonts w:hint="eastAsia"/>
          <w:sz w:val="28"/>
          <w:szCs w:val="28"/>
        </w:rPr>
        <w:t>媒体采访时说，磋商“积极、务实、富有建设性和成果”。最大的成果是双方达成共识，</w:t>
      </w:r>
      <w:r w:rsidR="00A302CB">
        <w:rPr>
          <w:rFonts w:hint="eastAsia"/>
          <w:sz w:val="28"/>
          <w:szCs w:val="28"/>
        </w:rPr>
        <w:t>不打贸易战，并停止加征关税。</w:t>
      </w:r>
      <w:r w:rsidR="00160C19">
        <w:rPr>
          <w:rFonts w:hint="eastAsia"/>
          <w:sz w:val="28"/>
          <w:szCs w:val="28"/>
        </w:rPr>
        <w:t>但事态的发展却走向了反面。</w:t>
      </w:r>
    </w:p>
    <w:p w:rsidR="003C786B" w:rsidRDefault="00A302CB" w:rsidP="003A4032">
      <w:pPr>
        <w:ind w:firstLineChars="200" w:firstLine="560"/>
        <w:rPr>
          <w:sz w:val="28"/>
          <w:szCs w:val="28"/>
        </w:rPr>
      </w:pPr>
      <w:r>
        <w:rPr>
          <w:rFonts w:hint="eastAsia"/>
          <w:sz w:val="28"/>
          <w:szCs w:val="28"/>
        </w:rPr>
        <w:t>5</w:t>
      </w:r>
      <w:r>
        <w:rPr>
          <w:rFonts w:hint="eastAsia"/>
          <w:sz w:val="28"/>
          <w:szCs w:val="28"/>
        </w:rPr>
        <w:t>月</w:t>
      </w:r>
      <w:r>
        <w:rPr>
          <w:rFonts w:hint="eastAsia"/>
          <w:sz w:val="28"/>
          <w:szCs w:val="28"/>
        </w:rPr>
        <w:t>20</w:t>
      </w:r>
      <w:r>
        <w:rPr>
          <w:rFonts w:hint="eastAsia"/>
          <w:sz w:val="28"/>
          <w:szCs w:val="28"/>
        </w:rPr>
        <w:t>日，</w:t>
      </w:r>
      <w:r w:rsidR="003C786B">
        <w:rPr>
          <w:rFonts w:hint="eastAsia"/>
          <w:sz w:val="28"/>
          <w:szCs w:val="28"/>
        </w:rPr>
        <w:t>中国外交部回应美国对中美高科技领域贸易设限，是“以国家安全之名，行贸易保护主义之实”。</w:t>
      </w:r>
    </w:p>
    <w:p w:rsidR="00A302CB" w:rsidRDefault="003C786B" w:rsidP="003A4032">
      <w:pPr>
        <w:ind w:firstLineChars="200" w:firstLine="560"/>
        <w:rPr>
          <w:sz w:val="28"/>
          <w:szCs w:val="28"/>
        </w:rPr>
      </w:pPr>
      <w:r>
        <w:rPr>
          <w:rFonts w:hint="eastAsia"/>
          <w:sz w:val="28"/>
          <w:szCs w:val="28"/>
        </w:rPr>
        <w:t>5</w:t>
      </w:r>
      <w:r>
        <w:rPr>
          <w:rFonts w:hint="eastAsia"/>
          <w:sz w:val="28"/>
          <w:szCs w:val="28"/>
        </w:rPr>
        <w:t>月</w:t>
      </w:r>
      <w:r>
        <w:rPr>
          <w:rFonts w:hint="eastAsia"/>
          <w:sz w:val="28"/>
          <w:szCs w:val="28"/>
        </w:rPr>
        <w:t>22</w:t>
      </w:r>
      <w:r>
        <w:rPr>
          <w:rFonts w:hint="eastAsia"/>
          <w:sz w:val="28"/>
          <w:szCs w:val="28"/>
        </w:rPr>
        <w:t>日，</w:t>
      </w:r>
      <w:r>
        <w:rPr>
          <w:rFonts w:hint="eastAsia"/>
          <w:sz w:val="28"/>
          <w:szCs w:val="28"/>
        </w:rPr>
        <w:t xml:space="preserve"> </w:t>
      </w:r>
      <w:r w:rsidR="00676BA3">
        <w:rPr>
          <w:rFonts w:hint="eastAsia"/>
          <w:sz w:val="28"/>
          <w:szCs w:val="28"/>
        </w:rPr>
        <w:t>国务院关税税则委员会发布公告，经国务院批准，自</w:t>
      </w:r>
      <w:r w:rsidR="00676BA3">
        <w:rPr>
          <w:rFonts w:hint="eastAsia"/>
          <w:sz w:val="28"/>
          <w:szCs w:val="28"/>
        </w:rPr>
        <w:t>7</w:t>
      </w:r>
      <w:r w:rsidR="00676BA3">
        <w:rPr>
          <w:rFonts w:hint="eastAsia"/>
          <w:sz w:val="28"/>
          <w:szCs w:val="28"/>
        </w:rPr>
        <w:t>月</w:t>
      </w:r>
      <w:r w:rsidR="00676BA3">
        <w:rPr>
          <w:rFonts w:hint="eastAsia"/>
          <w:sz w:val="28"/>
          <w:szCs w:val="28"/>
        </w:rPr>
        <w:t>1</w:t>
      </w:r>
      <w:r w:rsidR="00676BA3">
        <w:rPr>
          <w:rFonts w:hint="eastAsia"/>
          <w:sz w:val="28"/>
          <w:szCs w:val="28"/>
        </w:rPr>
        <w:t>日起，将汽车整车关税率分别从</w:t>
      </w:r>
      <w:r w:rsidR="00676BA3">
        <w:rPr>
          <w:rFonts w:hint="eastAsia"/>
          <w:sz w:val="28"/>
          <w:szCs w:val="28"/>
        </w:rPr>
        <w:t>25%</w:t>
      </w:r>
      <w:r w:rsidR="00676BA3">
        <w:rPr>
          <w:rFonts w:hint="eastAsia"/>
          <w:sz w:val="28"/>
          <w:szCs w:val="28"/>
        </w:rPr>
        <w:t>、</w:t>
      </w:r>
      <w:r w:rsidR="00676BA3">
        <w:rPr>
          <w:rFonts w:hint="eastAsia"/>
          <w:sz w:val="28"/>
          <w:szCs w:val="28"/>
        </w:rPr>
        <w:t>20%</w:t>
      </w:r>
      <w:r w:rsidR="00676BA3">
        <w:rPr>
          <w:rFonts w:hint="eastAsia"/>
          <w:sz w:val="28"/>
          <w:szCs w:val="28"/>
        </w:rPr>
        <w:t>降至</w:t>
      </w:r>
      <w:r w:rsidR="00676BA3">
        <w:rPr>
          <w:rFonts w:hint="eastAsia"/>
          <w:sz w:val="28"/>
          <w:szCs w:val="28"/>
        </w:rPr>
        <w:t>15%</w:t>
      </w:r>
      <w:r w:rsidR="00676BA3">
        <w:rPr>
          <w:rFonts w:hint="eastAsia"/>
          <w:sz w:val="28"/>
          <w:szCs w:val="28"/>
        </w:rPr>
        <w:t>，将汽车零部件关税率分别从</w:t>
      </w:r>
      <w:r w:rsidR="00676BA3">
        <w:rPr>
          <w:rFonts w:hint="eastAsia"/>
          <w:sz w:val="28"/>
          <w:szCs w:val="28"/>
        </w:rPr>
        <w:t>8%</w:t>
      </w:r>
      <w:r w:rsidR="00676BA3">
        <w:rPr>
          <w:rFonts w:hint="eastAsia"/>
          <w:sz w:val="28"/>
          <w:szCs w:val="28"/>
        </w:rPr>
        <w:t>、</w:t>
      </w:r>
      <w:r w:rsidR="00676BA3">
        <w:rPr>
          <w:rFonts w:hint="eastAsia"/>
          <w:sz w:val="28"/>
          <w:szCs w:val="28"/>
        </w:rPr>
        <w:t>10%</w:t>
      </w:r>
      <w:r w:rsidR="00676BA3">
        <w:rPr>
          <w:rFonts w:hint="eastAsia"/>
          <w:sz w:val="28"/>
          <w:szCs w:val="28"/>
        </w:rPr>
        <w:t>、</w:t>
      </w:r>
      <w:r w:rsidR="00676BA3">
        <w:rPr>
          <w:rFonts w:hint="eastAsia"/>
          <w:sz w:val="28"/>
          <w:szCs w:val="28"/>
        </w:rPr>
        <w:t>15%</w:t>
      </w:r>
      <w:r w:rsidR="00676BA3">
        <w:rPr>
          <w:rFonts w:hint="eastAsia"/>
          <w:sz w:val="28"/>
          <w:szCs w:val="28"/>
        </w:rPr>
        <w:t>、</w:t>
      </w:r>
      <w:r w:rsidR="00676BA3">
        <w:rPr>
          <w:rFonts w:hint="eastAsia"/>
          <w:sz w:val="28"/>
          <w:szCs w:val="28"/>
        </w:rPr>
        <w:t>20%</w:t>
      </w:r>
      <w:r w:rsidR="00676BA3">
        <w:rPr>
          <w:rFonts w:hint="eastAsia"/>
          <w:sz w:val="28"/>
          <w:szCs w:val="28"/>
        </w:rPr>
        <w:t>、</w:t>
      </w:r>
      <w:r w:rsidR="00676BA3">
        <w:rPr>
          <w:rFonts w:hint="eastAsia"/>
          <w:sz w:val="28"/>
          <w:szCs w:val="28"/>
        </w:rPr>
        <w:t>25%</w:t>
      </w:r>
      <w:r w:rsidR="00676BA3">
        <w:rPr>
          <w:rFonts w:hint="eastAsia"/>
          <w:sz w:val="28"/>
          <w:szCs w:val="28"/>
        </w:rPr>
        <w:t>降至</w:t>
      </w:r>
      <w:r w:rsidR="00676BA3">
        <w:rPr>
          <w:rFonts w:hint="eastAsia"/>
          <w:sz w:val="28"/>
          <w:szCs w:val="28"/>
        </w:rPr>
        <w:t>6%</w:t>
      </w:r>
      <w:r w:rsidR="00676BA3">
        <w:rPr>
          <w:rFonts w:hint="eastAsia"/>
          <w:sz w:val="28"/>
          <w:szCs w:val="28"/>
        </w:rPr>
        <w:t>。</w:t>
      </w:r>
    </w:p>
    <w:p w:rsidR="00676BA3" w:rsidRDefault="00676BA3" w:rsidP="003A4032">
      <w:pPr>
        <w:ind w:firstLineChars="200" w:firstLine="560"/>
        <w:rPr>
          <w:sz w:val="28"/>
          <w:szCs w:val="28"/>
        </w:rPr>
      </w:pPr>
      <w:r>
        <w:rPr>
          <w:rFonts w:hint="eastAsia"/>
          <w:sz w:val="28"/>
          <w:szCs w:val="28"/>
        </w:rPr>
        <w:t>5</w:t>
      </w:r>
      <w:r>
        <w:rPr>
          <w:rFonts w:hint="eastAsia"/>
          <w:sz w:val="28"/>
          <w:szCs w:val="28"/>
        </w:rPr>
        <w:t>月</w:t>
      </w:r>
      <w:r>
        <w:rPr>
          <w:rFonts w:hint="eastAsia"/>
          <w:sz w:val="28"/>
          <w:szCs w:val="28"/>
        </w:rPr>
        <w:t>23</w:t>
      </w:r>
      <w:r>
        <w:rPr>
          <w:rFonts w:hint="eastAsia"/>
          <w:sz w:val="28"/>
          <w:szCs w:val="28"/>
        </w:rPr>
        <w:t>日，商务部承诺落实中美联合声明，欢迎优质、有竞争</w:t>
      </w:r>
      <w:r>
        <w:rPr>
          <w:rFonts w:hint="eastAsia"/>
          <w:sz w:val="28"/>
          <w:szCs w:val="28"/>
        </w:rPr>
        <w:lastRenderedPageBreak/>
        <w:t>力的美国产品进入中国市场。</w:t>
      </w:r>
      <w:proofErr w:type="gramStart"/>
      <w:r w:rsidR="005E582B">
        <w:rPr>
          <w:rFonts w:hint="eastAsia"/>
          <w:sz w:val="28"/>
          <w:szCs w:val="28"/>
        </w:rPr>
        <w:t>特朗普发表推文</w:t>
      </w:r>
      <w:proofErr w:type="gramEnd"/>
      <w:r w:rsidR="005E582B">
        <w:rPr>
          <w:rFonts w:hint="eastAsia"/>
          <w:sz w:val="28"/>
          <w:szCs w:val="28"/>
        </w:rPr>
        <w:t>称，“我们与中方的贸易协议谈判进展顺利，但最终我们不得不采用一种完全不同的架构，因为这太难实现，而且在达成协议后还难以核实结果”。</w:t>
      </w:r>
    </w:p>
    <w:p w:rsidR="00CD2828" w:rsidRDefault="00CD2828" w:rsidP="003A4032">
      <w:pPr>
        <w:ind w:firstLineChars="200" w:firstLine="560"/>
        <w:rPr>
          <w:sz w:val="28"/>
          <w:szCs w:val="28"/>
        </w:rPr>
      </w:pPr>
      <w:r>
        <w:rPr>
          <w:rFonts w:hint="eastAsia"/>
          <w:sz w:val="28"/>
          <w:szCs w:val="28"/>
        </w:rPr>
        <w:t>6</w:t>
      </w:r>
      <w:r>
        <w:rPr>
          <w:rFonts w:hint="eastAsia"/>
          <w:sz w:val="28"/>
          <w:szCs w:val="28"/>
        </w:rPr>
        <w:t>月初，美国商务部长罗斯访华</w:t>
      </w:r>
      <w:r w:rsidR="00B95C2D">
        <w:rPr>
          <w:rFonts w:hint="eastAsia"/>
          <w:sz w:val="28"/>
          <w:szCs w:val="28"/>
        </w:rPr>
        <w:t>进行第三次磋商</w:t>
      </w:r>
      <w:r>
        <w:rPr>
          <w:rFonts w:hint="eastAsia"/>
          <w:sz w:val="28"/>
          <w:szCs w:val="28"/>
        </w:rPr>
        <w:t>，提出一份一揽子计划。报纸只公开了其中关于中国购买更多的美国大豆、玉米、天然气、原油、煤炭和制成品。双方估计第一年的价值近</w:t>
      </w:r>
      <w:r>
        <w:rPr>
          <w:rFonts w:hint="eastAsia"/>
          <w:sz w:val="28"/>
          <w:szCs w:val="28"/>
        </w:rPr>
        <w:t>700</w:t>
      </w:r>
      <w:r>
        <w:rPr>
          <w:rFonts w:hint="eastAsia"/>
          <w:sz w:val="28"/>
          <w:szCs w:val="28"/>
        </w:rPr>
        <w:t>亿美元。知情人士说，在谈判中，</w:t>
      </w:r>
      <w:proofErr w:type="gramStart"/>
      <w:r>
        <w:rPr>
          <w:rFonts w:hint="eastAsia"/>
          <w:sz w:val="28"/>
          <w:szCs w:val="28"/>
        </w:rPr>
        <w:t>刘鹤向罗</w:t>
      </w:r>
      <w:proofErr w:type="gramEnd"/>
      <w:r>
        <w:rPr>
          <w:rFonts w:hint="eastAsia"/>
          <w:sz w:val="28"/>
          <w:szCs w:val="28"/>
        </w:rPr>
        <w:t>斯明确表示，如果华盛顿继续推行其计划，向</w:t>
      </w:r>
      <w:r>
        <w:rPr>
          <w:rFonts w:hint="eastAsia"/>
          <w:sz w:val="28"/>
          <w:szCs w:val="28"/>
        </w:rPr>
        <w:t>500</w:t>
      </w:r>
      <w:r>
        <w:rPr>
          <w:rFonts w:hint="eastAsia"/>
          <w:sz w:val="28"/>
          <w:szCs w:val="28"/>
        </w:rPr>
        <w:t>亿美元的中国制成商品征收关税</w:t>
      </w:r>
      <w:r w:rsidR="00B870D9">
        <w:rPr>
          <w:rFonts w:hint="eastAsia"/>
          <w:sz w:val="28"/>
          <w:szCs w:val="28"/>
        </w:rPr>
        <w:t>，</w:t>
      </w:r>
      <w:r>
        <w:rPr>
          <w:rFonts w:hint="eastAsia"/>
          <w:sz w:val="28"/>
          <w:szCs w:val="28"/>
        </w:rPr>
        <w:t>那么，该提议将作废。</w:t>
      </w:r>
      <w:r w:rsidR="0006750E">
        <w:rPr>
          <w:rFonts w:hint="eastAsia"/>
          <w:sz w:val="28"/>
          <w:szCs w:val="28"/>
        </w:rPr>
        <w:t>外界估计，这一限制性条款有可能使得该协议无望达成。</w:t>
      </w:r>
    </w:p>
    <w:p w:rsidR="0006750E" w:rsidRDefault="0006750E" w:rsidP="003A4032">
      <w:pPr>
        <w:ind w:firstLineChars="200" w:firstLine="560"/>
        <w:rPr>
          <w:sz w:val="28"/>
          <w:szCs w:val="28"/>
        </w:rPr>
      </w:pPr>
      <w:r>
        <w:rPr>
          <w:rFonts w:hint="eastAsia"/>
          <w:sz w:val="28"/>
          <w:szCs w:val="28"/>
        </w:rPr>
        <w:t>6</w:t>
      </w:r>
      <w:r>
        <w:rPr>
          <w:rFonts w:hint="eastAsia"/>
          <w:sz w:val="28"/>
          <w:szCs w:val="28"/>
        </w:rPr>
        <w:t>月</w:t>
      </w:r>
      <w:r>
        <w:rPr>
          <w:rFonts w:hint="eastAsia"/>
          <w:sz w:val="28"/>
          <w:szCs w:val="28"/>
        </w:rPr>
        <w:t>15</w:t>
      </w:r>
      <w:r>
        <w:rPr>
          <w:rFonts w:hint="eastAsia"/>
          <w:sz w:val="28"/>
          <w:szCs w:val="28"/>
        </w:rPr>
        <w:t>日，</w:t>
      </w:r>
      <w:proofErr w:type="gramStart"/>
      <w:r w:rsidR="00EE732F">
        <w:rPr>
          <w:rFonts w:hint="eastAsia"/>
          <w:sz w:val="28"/>
          <w:szCs w:val="28"/>
        </w:rPr>
        <w:t>特朗普</w:t>
      </w:r>
      <w:proofErr w:type="gramEnd"/>
      <w:r w:rsidR="00EE732F">
        <w:rPr>
          <w:rFonts w:hint="eastAsia"/>
          <w:sz w:val="28"/>
          <w:szCs w:val="28"/>
        </w:rPr>
        <w:t>决定把</w:t>
      </w:r>
      <w:r w:rsidR="00EE732F">
        <w:rPr>
          <w:rFonts w:hint="eastAsia"/>
          <w:sz w:val="28"/>
          <w:szCs w:val="28"/>
        </w:rPr>
        <w:t>3</w:t>
      </w:r>
      <w:r w:rsidR="00EE732F">
        <w:rPr>
          <w:rFonts w:hint="eastAsia"/>
          <w:sz w:val="28"/>
          <w:szCs w:val="28"/>
        </w:rPr>
        <w:t>月份宣布的对价值</w:t>
      </w:r>
      <w:r w:rsidR="00EE732F">
        <w:rPr>
          <w:rFonts w:hint="eastAsia"/>
          <w:sz w:val="28"/>
          <w:szCs w:val="28"/>
        </w:rPr>
        <w:t>500</w:t>
      </w:r>
      <w:r w:rsidR="00EE732F">
        <w:rPr>
          <w:rFonts w:hint="eastAsia"/>
          <w:sz w:val="28"/>
          <w:szCs w:val="28"/>
        </w:rPr>
        <w:t>亿美元的中国商品加征</w:t>
      </w:r>
      <w:r w:rsidR="00EE732F">
        <w:rPr>
          <w:rFonts w:hint="eastAsia"/>
          <w:sz w:val="28"/>
          <w:szCs w:val="28"/>
        </w:rPr>
        <w:t>25%</w:t>
      </w:r>
      <w:r w:rsidR="00EE732F">
        <w:rPr>
          <w:rFonts w:hint="eastAsia"/>
          <w:sz w:val="28"/>
          <w:szCs w:val="28"/>
        </w:rPr>
        <w:t>的惩罚性关税的计划付诸实施，其中对约</w:t>
      </w:r>
      <w:r w:rsidR="00EE732F">
        <w:rPr>
          <w:rFonts w:hint="eastAsia"/>
          <w:sz w:val="28"/>
          <w:szCs w:val="28"/>
        </w:rPr>
        <w:t>340</w:t>
      </w:r>
      <w:r w:rsidR="00EE732F">
        <w:rPr>
          <w:rFonts w:hint="eastAsia"/>
          <w:sz w:val="28"/>
          <w:szCs w:val="28"/>
        </w:rPr>
        <w:t>亿美元</w:t>
      </w:r>
      <w:r w:rsidR="00D008E3">
        <w:rPr>
          <w:rFonts w:hint="eastAsia"/>
          <w:sz w:val="28"/>
          <w:szCs w:val="28"/>
        </w:rPr>
        <w:t>的商品自</w:t>
      </w:r>
      <w:r w:rsidR="00D008E3">
        <w:rPr>
          <w:rFonts w:hint="eastAsia"/>
          <w:sz w:val="28"/>
          <w:szCs w:val="28"/>
        </w:rPr>
        <w:t>7</w:t>
      </w:r>
      <w:r w:rsidR="00D008E3">
        <w:rPr>
          <w:rFonts w:hint="eastAsia"/>
          <w:sz w:val="28"/>
          <w:szCs w:val="28"/>
        </w:rPr>
        <w:t>月</w:t>
      </w:r>
      <w:r w:rsidR="00D008E3">
        <w:rPr>
          <w:rFonts w:hint="eastAsia"/>
          <w:sz w:val="28"/>
          <w:szCs w:val="28"/>
        </w:rPr>
        <w:t>6</w:t>
      </w:r>
      <w:r w:rsidR="00D008E3">
        <w:rPr>
          <w:rFonts w:hint="eastAsia"/>
          <w:sz w:val="28"/>
          <w:szCs w:val="28"/>
        </w:rPr>
        <w:t>日起开征，同时对</w:t>
      </w:r>
      <w:r w:rsidR="00D008E3">
        <w:rPr>
          <w:rFonts w:hint="eastAsia"/>
          <w:sz w:val="28"/>
          <w:szCs w:val="28"/>
        </w:rPr>
        <w:t>160</w:t>
      </w:r>
      <w:r w:rsidR="00D008E3">
        <w:rPr>
          <w:rFonts w:hint="eastAsia"/>
          <w:sz w:val="28"/>
          <w:szCs w:val="28"/>
        </w:rPr>
        <w:t>亿美元商品加征关税开始征求公众意见。中国立即予以反击，第二天宣布对原产于美国的</w:t>
      </w:r>
      <w:r w:rsidR="00D008E3">
        <w:rPr>
          <w:rFonts w:hint="eastAsia"/>
          <w:sz w:val="28"/>
          <w:szCs w:val="28"/>
        </w:rPr>
        <w:t>659</w:t>
      </w:r>
      <w:r w:rsidR="00D008E3">
        <w:rPr>
          <w:rFonts w:hint="eastAsia"/>
          <w:sz w:val="28"/>
          <w:szCs w:val="28"/>
        </w:rPr>
        <w:t>项价值</w:t>
      </w:r>
      <w:r w:rsidR="00D008E3">
        <w:rPr>
          <w:rFonts w:hint="eastAsia"/>
          <w:sz w:val="28"/>
          <w:szCs w:val="28"/>
        </w:rPr>
        <w:t>500</w:t>
      </w:r>
      <w:r w:rsidR="00D008E3">
        <w:rPr>
          <w:rFonts w:hint="eastAsia"/>
          <w:sz w:val="28"/>
          <w:szCs w:val="28"/>
        </w:rPr>
        <w:t>亿美元的商品加征</w:t>
      </w:r>
      <w:r w:rsidR="00D008E3">
        <w:rPr>
          <w:rFonts w:hint="eastAsia"/>
          <w:sz w:val="28"/>
          <w:szCs w:val="28"/>
        </w:rPr>
        <w:t>25%</w:t>
      </w:r>
      <w:r w:rsidR="00D008E3">
        <w:rPr>
          <w:rFonts w:hint="eastAsia"/>
          <w:sz w:val="28"/>
          <w:szCs w:val="28"/>
        </w:rPr>
        <w:t>的关税，其中</w:t>
      </w:r>
      <w:r w:rsidR="00D008E3">
        <w:rPr>
          <w:rFonts w:hint="eastAsia"/>
          <w:sz w:val="28"/>
          <w:szCs w:val="28"/>
        </w:rPr>
        <w:t>545</w:t>
      </w:r>
      <w:r w:rsidR="00D008E3">
        <w:rPr>
          <w:rFonts w:hint="eastAsia"/>
          <w:sz w:val="28"/>
          <w:szCs w:val="28"/>
        </w:rPr>
        <w:t>项约</w:t>
      </w:r>
      <w:r w:rsidR="00D008E3">
        <w:rPr>
          <w:rFonts w:hint="eastAsia"/>
          <w:sz w:val="28"/>
          <w:szCs w:val="28"/>
        </w:rPr>
        <w:t>340</w:t>
      </w:r>
      <w:r w:rsidR="00D008E3">
        <w:rPr>
          <w:rFonts w:hint="eastAsia"/>
          <w:sz w:val="28"/>
          <w:szCs w:val="28"/>
        </w:rPr>
        <w:t>亿美元商品从</w:t>
      </w:r>
      <w:r w:rsidR="00D008E3">
        <w:rPr>
          <w:rFonts w:hint="eastAsia"/>
          <w:sz w:val="28"/>
          <w:szCs w:val="28"/>
        </w:rPr>
        <w:t>7</w:t>
      </w:r>
      <w:r w:rsidR="00D008E3">
        <w:rPr>
          <w:rFonts w:hint="eastAsia"/>
          <w:sz w:val="28"/>
          <w:szCs w:val="28"/>
        </w:rPr>
        <w:t>月</w:t>
      </w:r>
      <w:r w:rsidR="00D008E3">
        <w:rPr>
          <w:rFonts w:hint="eastAsia"/>
          <w:sz w:val="28"/>
          <w:szCs w:val="28"/>
        </w:rPr>
        <w:t>6</w:t>
      </w:r>
      <w:r w:rsidR="00D008E3">
        <w:rPr>
          <w:rFonts w:hint="eastAsia"/>
          <w:sz w:val="28"/>
          <w:szCs w:val="28"/>
        </w:rPr>
        <w:t>日起开征。</w:t>
      </w:r>
    </w:p>
    <w:p w:rsidR="00D008E3" w:rsidRDefault="00D008E3" w:rsidP="003A4032">
      <w:pPr>
        <w:ind w:firstLineChars="200" w:firstLine="560"/>
        <w:rPr>
          <w:sz w:val="28"/>
          <w:szCs w:val="28"/>
        </w:rPr>
      </w:pPr>
      <w:r>
        <w:rPr>
          <w:rFonts w:hint="eastAsia"/>
          <w:sz w:val="28"/>
          <w:szCs w:val="28"/>
        </w:rPr>
        <w:t>6</w:t>
      </w:r>
      <w:r>
        <w:rPr>
          <w:rFonts w:hint="eastAsia"/>
          <w:sz w:val="28"/>
          <w:szCs w:val="28"/>
        </w:rPr>
        <w:t>月</w:t>
      </w:r>
      <w:r>
        <w:rPr>
          <w:rFonts w:hint="eastAsia"/>
          <w:sz w:val="28"/>
          <w:szCs w:val="28"/>
        </w:rPr>
        <w:t>28</w:t>
      </w:r>
      <w:r>
        <w:rPr>
          <w:rFonts w:hint="eastAsia"/>
          <w:sz w:val="28"/>
          <w:szCs w:val="28"/>
        </w:rPr>
        <w:t>日，中国政府发布《中国与世界贸易组织》白皮书</w:t>
      </w:r>
      <w:r w:rsidR="00293446">
        <w:rPr>
          <w:rFonts w:hint="eastAsia"/>
          <w:sz w:val="28"/>
          <w:szCs w:val="28"/>
        </w:rPr>
        <w:t>，其主要内容有，一是反对单边主义</w:t>
      </w:r>
      <w:r w:rsidR="00160C19">
        <w:rPr>
          <w:rFonts w:hint="eastAsia"/>
          <w:sz w:val="28"/>
          <w:szCs w:val="28"/>
        </w:rPr>
        <w:t>和</w:t>
      </w:r>
      <w:r w:rsidR="00293446">
        <w:rPr>
          <w:rFonts w:hint="eastAsia"/>
          <w:sz w:val="28"/>
          <w:szCs w:val="28"/>
        </w:rPr>
        <w:t>贸易保护主义，二是中国是国际贸易中一个负责任的伙伴，三是中国将进一步扩大对外开放。</w:t>
      </w:r>
    </w:p>
    <w:p w:rsidR="00293446" w:rsidRDefault="00293446" w:rsidP="003A4032">
      <w:pPr>
        <w:ind w:firstLineChars="200" w:firstLine="560"/>
        <w:rPr>
          <w:sz w:val="28"/>
          <w:szCs w:val="28"/>
        </w:rPr>
      </w:pPr>
      <w:r>
        <w:rPr>
          <w:rFonts w:hint="eastAsia"/>
          <w:sz w:val="28"/>
          <w:szCs w:val="28"/>
        </w:rPr>
        <w:t>7</w:t>
      </w:r>
      <w:r>
        <w:rPr>
          <w:rFonts w:hint="eastAsia"/>
          <w:sz w:val="28"/>
          <w:szCs w:val="28"/>
        </w:rPr>
        <w:t>月</w:t>
      </w:r>
      <w:r>
        <w:rPr>
          <w:rFonts w:hint="eastAsia"/>
          <w:sz w:val="28"/>
          <w:szCs w:val="28"/>
        </w:rPr>
        <w:t>6</w:t>
      </w:r>
      <w:r>
        <w:rPr>
          <w:rFonts w:hint="eastAsia"/>
          <w:sz w:val="28"/>
          <w:szCs w:val="28"/>
        </w:rPr>
        <w:t>日，美国和中国开始对对方价值</w:t>
      </w:r>
      <w:r>
        <w:rPr>
          <w:rFonts w:hint="eastAsia"/>
          <w:sz w:val="28"/>
          <w:szCs w:val="28"/>
        </w:rPr>
        <w:t>340</w:t>
      </w:r>
      <w:r>
        <w:rPr>
          <w:rFonts w:hint="eastAsia"/>
          <w:sz w:val="28"/>
          <w:szCs w:val="28"/>
        </w:rPr>
        <w:t>亿美元的商品加征关税，贸易战正式打响。</w:t>
      </w:r>
      <w:r w:rsidR="004A695C">
        <w:rPr>
          <w:rFonts w:hint="eastAsia"/>
          <w:sz w:val="28"/>
          <w:szCs w:val="28"/>
        </w:rPr>
        <w:t>新华社记者</w:t>
      </w:r>
      <w:r>
        <w:rPr>
          <w:rFonts w:hint="eastAsia"/>
          <w:sz w:val="28"/>
          <w:szCs w:val="28"/>
        </w:rPr>
        <w:t>称，这是“经济史上规模最大的贸易战”。</w:t>
      </w:r>
      <w:r w:rsidR="004A695C">
        <w:rPr>
          <w:rFonts w:hint="eastAsia"/>
          <w:sz w:val="28"/>
          <w:szCs w:val="28"/>
        </w:rPr>
        <w:t>美国贸易代表办公室宣布，寻求从中国进口到美国的商品豁免关税的企业将有</w:t>
      </w:r>
      <w:r w:rsidR="004A695C">
        <w:rPr>
          <w:rFonts w:hint="eastAsia"/>
          <w:sz w:val="28"/>
          <w:szCs w:val="28"/>
        </w:rPr>
        <w:t>90</w:t>
      </w:r>
      <w:r w:rsidR="004A695C">
        <w:rPr>
          <w:rFonts w:hint="eastAsia"/>
          <w:sz w:val="28"/>
          <w:szCs w:val="28"/>
        </w:rPr>
        <w:t>天的时间提交申请，批准后，豁免期为一年。</w:t>
      </w:r>
      <w:r w:rsidR="004A695C">
        <w:rPr>
          <w:rFonts w:hint="eastAsia"/>
          <w:sz w:val="28"/>
          <w:szCs w:val="28"/>
        </w:rPr>
        <w:lastRenderedPageBreak/>
        <w:t>中国在</w:t>
      </w:r>
      <w:r w:rsidR="004A695C">
        <w:rPr>
          <w:rFonts w:hint="eastAsia"/>
          <w:sz w:val="28"/>
          <w:szCs w:val="28"/>
        </w:rPr>
        <w:t>6</w:t>
      </w:r>
      <w:r w:rsidR="004A695C">
        <w:rPr>
          <w:rFonts w:hint="eastAsia"/>
          <w:sz w:val="28"/>
          <w:szCs w:val="28"/>
        </w:rPr>
        <w:t>日晚宣布，在世贸组织对美国追加起诉。</w:t>
      </w:r>
    </w:p>
    <w:p w:rsidR="004A695C" w:rsidRPr="00CD2828" w:rsidRDefault="00562998" w:rsidP="003A4032">
      <w:pPr>
        <w:ind w:firstLineChars="200" w:firstLine="560"/>
        <w:rPr>
          <w:sz w:val="28"/>
          <w:szCs w:val="28"/>
        </w:rPr>
      </w:pPr>
      <w:r>
        <w:rPr>
          <w:rFonts w:hint="eastAsia"/>
          <w:sz w:val="28"/>
          <w:szCs w:val="28"/>
        </w:rPr>
        <w:t>7</w:t>
      </w:r>
      <w:r>
        <w:rPr>
          <w:rFonts w:hint="eastAsia"/>
          <w:sz w:val="28"/>
          <w:szCs w:val="28"/>
        </w:rPr>
        <w:t>月</w:t>
      </w:r>
      <w:r>
        <w:rPr>
          <w:rFonts w:hint="eastAsia"/>
          <w:sz w:val="28"/>
          <w:szCs w:val="28"/>
        </w:rPr>
        <w:t>11</w:t>
      </w:r>
      <w:r>
        <w:rPr>
          <w:rFonts w:hint="eastAsia"/>
          <w:sz w:val="28"/>
          <w:szCs w:val="28"/>
        </w:rPr>
        <w:t>日，美国贸易代表莱特希泽公布了一份公开征求意见的清单，涉及</w:t>
      </w:r>
      <w:r>
        <w:rPr>
          <w:rFonts w:hint="eastAsia"/>
          <w:sz w:val="28"/>
          <w:szCs w:val="28"/>
        </w:rPr>
        <w:t>2000</w:t>
      </w:r>
      <w:r>
        <w:rPr>
          <w:rFonts w:hint="eastAsia"/>
          <w:sz w:val="28"/>
          <w:szCs w:val="28"/>
        </w:rPr>
        <w:t>亿美元的中国商品，将征收</w:t>
      </w:r>
      <w:r>
        <w:rPr>
          <w:rFonts w:hint="eastAsia"/>
          <w:sz w:val="28"/>
          <w:szCs w:val="28"/>
        </w:rPr>
        <w:t>10%</w:t>
      </w:r>
      <w:r>
        <w:rPr>
          <w:rFonts w:hint="eastAsia"/>
          <w:sz w:val="28"/>
          <w:szCs w:val="28"/>
        </w:rPr>
        <w:t>的关税。这是全面贸易战的一个重大步骤。</w:t>
      </w:r>
    </w:p>
    <w:p w:rsidR="003C786B" w:rsidRPr="003C786B" w:rsidRDefault="003C786B" w:rsidP="003A4032">
      <w:pPr>
        <w:ind w:firstLineChars="200" w:firstLine="560"/>
        <w:rPr>
          <w:sz w:val="28"/>
          <w:szCs w:val="28"/>
        </w:rPr>
      </w:pPr>
    </w:p>
    <w:p w:rsidR="00CC303D" w:rsidRDefault="00B870D9" w:rsidP="00EE72A8">
      <w:pPr>
        <w:ind w:firstLineChars="200" w:firstLine="560"/>
        <w:rPr>
          <w:sz w:val="28"/>
          <w:szCs w:val="28"/>
        </w:rPr>
      </w:pPr>
      <w:r>
        <w:rPr>
          <w:rFonts w:hint="eastAsia"/>
          <w:sz w:val="28"/>
          <w:szCs w:val="28"/>
        </w:rPr>
        <w:t>2</w:t>
      </w:r>
      <w:r>
        <w:rPr>
          <w:rFonts w:hint="eastAsia"/>
          <w:sz w:val="28"/>
          <w:szCs w:val="28"/>
        </w:rPr>
        <w:t>．中兴事件始末</w:t>
      </w:r>
    </w:p>
    <w:p w:rsidR="00160C19" w:rsidRDefault="00160C19" w:rsidP="00B870D9">
      <w:pPr>
        <w:ind w:firstLine="540"/>
        <w:rPr>
          <w:sz w:val="28"/>
          <w:szCs w:val="28"/>
        </w:rPr>
      </w:pPr>
      <w:r>
        <w:rPr>
          <w:rFonts w:hint="eastAsia"/>
          <w:sz w:val="28"/>
          <w:szCs w:val="28"/>
        </w:rPr>
        <w:t>中兴事件是中美贸易战</w:t>
      </w:r>
      <w:r w:rsidR="00B95C2D">
        <w:rPr>
          <w:rFonts w:hint="eastAsia"/>
          <w:sz w:val="28"/>
          <w:szCs w:val="28"/>
        </w:rPr>
        <w:t>中</w:t>
      </w:r>
      <w:r>
        <w:rPr>
          <w:rFonts w:hint="eastAsia"/>
          <w:sz w:val="28"/>
          <w:szCs w:val="28"/>
        </w:rPr>
        <w:t>的一个重要插曲，我们先对其做些梳理，然后分析。</w:t>
      </w:r>
    </w:p>
    <w:p w:rsidR="00B870D9" w:rsidRPr="00332FD2" w:rsidRDefault="00B870D9" w:rsidP="00B870D9">
      <w:pPr>
        <w:ind w:firstLine="540"/>
        <w:rPr>
          <w:sz w:val="28"/>
          <w:szCs w:val="28"/>
        </w:rPr>
      </w:pPr>
      <w:r w:rsidRPr="00332FD2">
        <w:rPr>
          <w:rFonts w:hint="eastAsia"/>
          <w:sz w:val="28"/>
          <w:szCs w:val="28"/>
        </w:rPr>
        <w:t>4</w:t>
      </w:r>
      <w:r w:rsidRPr="00332FD2">
        <w:rPr>
          <w:rFonts w:hint="eastAsia"/>
          <w:sz w:val="28"/>
          <w:szCs w:val="28"/>
        </w:rPr>
        <w:t>月</w:t>
      </w:r>
      <w:r w:rsidRPr="00332FD2">
        <w:rPr>
          <w:rFonts w:hint="eastAsia"/>
          <w:sz w:val="28"/>
          <w:szCs w:val="28"/>
        </w:rPr>
        <w:t>16</w:t>
      </w:r>
      <w:r w:rsidRPr="00332FD2">
        <w:rPr>
          <w:rFonts w:hint="eastAsia"/>
          <w:sz w:val="28"/>
          <w:szCs w:val="28"/>
        </w:rPr>
        <w:t>日，美国商务部禁止美国企业向中国中兴通信股份有限公司出售零部件，期限为</w:t>
      </w:r>
      <w:r w:rsidRPr="00332FD2">
        <w:rPr>
          <w:rFonts w:hint="eastAsia"/>
          <w:sz w:val="28"/>
          <w:szCs w:val="28"/>
        </w:rPr>
        <w:t>7</w:t>
      </w:r>
      <w:r w:rsidRPr="00332FD2">
        <w:rPr>
          <w:rFonts w:hint="eastAsia"/>
          <w:sz w:val="28"/>
          <w:szCs w:val="28"/>
        </w:rPr>
        <w:t>年。此前该公司被指在关于它向伊朗销售设备的调查中作虚假陈述。与此同时，英国国家网络安全中心警告英国电信供应商，使用中兴的设备和服务将给国家安全带来威胁。</w:t>
      </w:r>
    </w:p>
    <w:p w:rsidR="00B870D9" w:rsidRPr="00CC303D" w:rsidRDefault="00B870D9" w:rsidP="00B870D9">
      <w:pPr>
        <w:ind w:firstLineChars="200" w:firstLine="560"/>
        <w:rPr>
          <w:sz w:val="28"/>
          <w:szCs w:val="28"/>
        </w:rPr>
      </w:pPr>
      <w:r w:rsidRPr="00332FD2">
        <w:rPr>
          <w:rFonts w:hint="eastAsia"/>
          <w:sz w:val="28"/>
          <w:szCs w:val="28"/>
        </w:rPr>
        <w:t>4</w:t>
      </w:r>
      <w:r w:rsidRPr="00332FD2">
        <w:rPr>
          <w:rFonts w:hint="eastAsia"/>
          <w:sz w:val="28"/>
          <w:szCs w:val="28"/>
        </w:rPr>
        <w:t>月</w:t>
      </w:r>
      <w:r w:rsidRPr="00332FD2">
        <w:rPr>
          <w:rFonts w:hint="eastAsia"/>
          <w:sz w:val="28"/>
          <w:szCs w:val="28"/>
        </w:rPr>
        <w:t>17</w:t>
      </w:r>
      <w:r w:rsidRPr="00332FD2">
        <w:rPr>
          <w:rFonts w:hint="eastAsia"/>
          <w:sz w:val="28"/>
          <w:szCs w:val="28"/>
        </w:rPr>
        <w:t>日，美国联邦通信委员会以</w:t>
      </w:r>
      <w:r w:rsidRPr="00332FD2">
        <w:rPr>
          <w:rFonts w:hint="eastAsia"/>
          <w:sz w:val="28"/>
          <w:szCs w:val="28"/>
        </w:rPr>
        <w:t>5</w:t>
      </w:r>
      <w:r w:rsidRPr="00332FD2">
        <w:rPr>
          <w:rFonts w:hint="eastAsia"/>
          <w:sz w:val="28"/>
          <w:szCs w:val="28"/>
        </w:rPr>
        <w:t>：</w:t>
      </w:r>
      <w:r w:rsidRPr="00332FD2">
        <w:rPr>
          <w:rFonts w:hint="eastAsia"/>
          <w:sz w:val="28"/>
          <w:szCs w:val="28"/>
        </w:rPr>
        <w:t xml:space="preserve">0 </w:t>
      </w:r>
      <w:r w:rsidRPr="00332FD2">
        <w:rPr>
          <w:rFonts w:hint="eastAsia"/>
          <w:sz w:val="28"/>
          <w:szCs w:val="28"/>
        </w:rPr>
        <w:t>投票支持一项措施，该措施将阻止美国运营商使用联邦基金从某些公司购买网络设备。这项禁令还没有最终出台，它主要针对华为和中兴这两家电信公司。</w:t>
      </w:r>
    </w:p>
    <w:p w:rsidR="002924D3" w:rsidRDefault="00685194" w:rsidP="00EE72A8">
      <w:pPr>
        <w:ind w:firstLineChars="200" w:firstLine="560"/>
        <w:rPr>
          <w:sz w:val="28"/>
          <w:szCs w:val="28"/>
        </w:rPr>
      </w:pPr>
      <w:r>
        <w:rPr>
          <w:rFonts w:hint="eastAsia"/>
          <w:sz w:val="28"/>
          <w:szCs w:val="28"/>
        </w:rPr>
        <w:t>5</w:t>
      </w:r>
      <w:r>
        <w:rPr>
          <w:rFonts w:hint="eastAsia"/>
          <w:sz w:val="28"/>
          <w:szCs w:val="28"/>
        </w:rPr>
        <w:t>月</w:t>
      </w:r>
      <w:r>
        <w:rPr>
          <w:rFonts w:hint="eastAsia"/>
          <w:sz w:val="28"/>
          <w:szCs w:val="28"/>
        </w:rPr>
        <w:t>20</w:t>
      </w:r>
      <w:r>
        <w:rPr>
          <w:rFonts w:hint="eastAsia"/>
          <w:sz w:val="28"/>
          <w:szCs w:val="28"/>
        </w:rPr>
        <w:t>日，中兴通信在其网站和官方</w:t>
      </w:r>
      <w:proofErr w:type="gramStart"/>
      <w:r>
        <w:rPr>
          <w:rFonts w:hint="eastAsia"/>
          <w:sz w:val="28"/>
          <w:szCs w:val="28"/>
        </w:rPr>
        <w:t>微博发表</w:t>
      </w:r>
      <w:proofErr w:type="gramEnd"/>
      <w:r>
        <w:rPr>
          <w:rFonts w:hint="eastAsia"/>
          <w:sz w:val="28"/>
          <w:szCs w:val="28"/>
        </w:rPr>
        <w:t>中文声明称，</w:t>
      </w:r>
      <w:r>
        <w:rPr>
          <w:rFonts w:hint="eastAsia"/>
          <w:sz w:val="28"/>
          <w:szCs w:val="28"/>
        </w:rPr>
        <w:t>4</w:t>
      </w:r>
      <w:r>
        <w:rPr>
          <w:rFonts w:hint="eastAsia"/>
          <w:sz w:val="28"/>
          <w:szCs w:val="28"/>
        </w:rPr>
        <w:t>月</w:t>
      </w:r>
      <w:r>
        <w:rPr>
          <w:rFonts w:hint="eastAsia"/>
          <w:sz w:val="28"/>
          <w:szCs w:val="28"/>
        </w:rPr>
        <w:t>16</w:t>
      </w:r>
      <w:r>
        <w:rPr>
          <w:rFonts w:hint="eastAsia"/>
          <w:sz w:val="28"/>
          <w:szCs w:val="28"/>
        </w:rPr>
        <w:t>日美国商务部安全局对其做出的制裁决定“极不公平，中兴不能接受”。</w:t>
      </w:r>
    </w:p>
    <w:p w:rsidR="00985592" w:rsidRDefault="00985592" w:rsidP="00EE72A8">
      <w:pPr>
        <w:ind w:firstLineChars="200" w:firstLine="560"/>
        <w:rPr>
          <w:sz w:val="28"/>
          <w:szCs w:val="28"/>
        </w:rPr>
      </w:pPr>
      <w:r>
        <w:rPr>
          <w:rFonts w:hint="eastAsia"/>
          <w:sz w:val="28"/>
          <w:szCs w:val="28"/>
        </w:rPr>
        <w:t>5</w:t>
      </w:r>
      <w:r>
        <w:rPr>
          <w:rFonts w:hint="eastAsia"/>
          <w:sz w:val="28"/>
          <w:szCs w:val="28"/>
        </w:rPr>
        <w:t>月</w:t>
      </w:r>
      <w:r>
        <w:rPr>
          <w:rFonts w:hint="eastAsia"/>
          <w:sz w:val="28"/>
          <w:szCs w:val="28"/>
        </w:rPr>
        <w:t>22</w:t>
      </w:r>
      <w:r>
        <w:rPr>
          <w:rFonts w:hint="eastAsia"/>
          <w:sz w:val="28"/>
          <w:szCs w:val="28"/>
        </w:rPr>
        <w:t>日，</w:t>
      </w:r>
      <w:proofErr w:type="gramStart"/>
      <w:r>
        <w:rPr>
          <w:rFonts w:hint="eastAsia"/>
          <w:sz w:val="28"/>
          <w:szCs w:val="28"/>
        </w:rPr>
        <w:t>特朗普</w:t>
      </w:r>
      <w:proofErr w:type="gramEnd"/>
      <w:r>
        <w:rPr>
          <w:rFonts w:hint="eastAsia"/>
          <w:sz w:val="28"/>
          <w:szCs w:val="28"/>
        </w:rPr>
        <w:t>提出对中兴公司“以罚代禁”，中兴接受</w:t>
      </w:r>
      <w:r>
        <w:rPr>
          <w:rFonts w:hint="eastAsia"/>
          <w:sz w:val="28"/>
          <w:szCs w:val="28"/>
        </w:rPr>
        <w:t>13</w:t>
      </w:r>
      <w:r>
        <w:rPr>
          <w:rFonts w:hint="eastAsia"/>
          <w:sz w:val="28"/>
          <w:szCs w:val="28"/>
        </w:rPr>
        <w:t>亿美元的罚款，更换管理层和董事会等处罚，而美国国会反对解除禁令。</w:t>
      </w:r>
    </w:p>
    <w:p w:rsidR="00151D0F" w:rsidRDefault="00151D0F" w:rsidP="00EE72A8">
      <w:pPr>
        <w:ind w:firstLineChars="200" w:firstLine="560"/>
        <w:rPr>
          <w:sz w:val="28"/>
          <w:szCs w:val="28"/>
        </w:rPr>
      </w:pPr>
      <w:r>
        <w:rPr>
          <w:rFonts w:hint="eastAsia"/>
          <w:sz w:val="28"/>
          <w:szCs w:val="28"/>
        </w:rPr>
        <w:t>6</w:t>
      </w:r>
      <w:r>
        <w:rPr>
          <w:rFonts w:hint="eastAsia"/>
          <w:sz w:val="28"/>
          <w:szCs w:val="28"/>
        </w:rPr>
        <w:t>月</w:t>
      </w:r>
      <w:r>
        <w:rPr>
          <w:rFonts w:hint="eastAsia"/>
          <w:sz w:val="28"/>
          <w:szCs w:val="28"/>
        </w:rPr>
        <w:t>7</w:t>
      </w:r>
      <w:r>
        <w:rPr>
          <w:rFonts w:hint="eastAsia"/>
          <w:sz w:val="28"/>
          <w:szCs w:val="28"/>
        </w:rPr>
        <w:t>日，美国商务部长罗斯宣布，与中兴达成新的和解协议，</w:t>
      </w:r>
      <w:r>
        <w:rPr>
          <w:rFonts w:hint="eastAsia"/>
          <w:sz w:val="28"/>
          <w:szCs w:val="28"/>
        </w:rPr>
        <w:lastRenderedPageBreak/>
        <w:t>中兴公司支付</w:t>
      </w:r>
      <w:r>
        <w:rPr>
          <w:rFonts w:hint="eastAsia"/>
          <w:sz w:val="28"/>
          <w:szCs w:val="28"/>
        </w:rPr>
        <w:t>10</w:t>
      </w:r>
      <w:r>
        <w:rPr>
          <w:rFonts w:hint="eastAsia"/>
          <w:sz w:val="28"/>
          <w:szCs w:val="28"/>
        </w:rPr>
        <w:t>亿美元罚款，另有</w:t>
      </w:r>
      <w:r>
        <w:rPr>
          <w:rFonts w:hint="eastAsia"/>
          <w:sz w:val="28"/>
          <w:szCs w:val="28"/>
        </w:rPr>
        <w:t>4</w:t>
      </w:r>
      <w:r>
        <w:rPr>
          <w:rFonts w:hint="eastAsia"/>
          <w:sz w:val="28"/>
          <w:szCs w:val="28"/>
        </w:rPr>
        <w:t>亿美元保证金交由第三方保管，然后美国才将中兴从</w:t>
      </w:r>
      <w:r w:rsidR="00160C19">
        <w:rPr>
          <w:rFonts w:hint="eastAsia"/>
          <w:sz w:val="28"/>
          <w:szCs w:val="28"/>
        </w:rPr>
        <w:t>禁令</w:t>
      </w:r>
      <w:r>
        <w:rPr>
          <w:rFonts w:hint="eastAsia"/>
          <w:sz w:val="28"/>
          <w:szCs w:val="28"/>
        </w:rPr>
        <w:t>名单中</w:t>
      </w:r>
      <w:r w:rsidR="000A6B2C">
        <w:rPr>
          <w:rFonts w:hint="eastAsia"/>
          <w:sz w:val="28"/>
          <w:szCs w:val="28"/>
        </w:rPr>
        <w:t>撤除。作为协议的一部分，中兴承诺在</w:t>
      </w:r>
      <w:r w:rsidR="000A6B2C">
        <w:rPr>
          <w:rFonts w:hint="eastAsia"/>
          <w:sz w:val="28"/>
          <w:szCs w:val="28"/>
        </w:rPr>
        <w:t>30</w:t>
      </w:r>
      <w:r w:rsidR="000A6B2C">
        <w:rPr>
          <w:rFonts w:hint="eastAsia"/>
          <w:sz w:val="28"/>
          <w:szCs w:val="28"/>
        </w:rPr>
        <w:t>天内更换董事会成员和管理层，并开放办公场所，接受美方派员进驻检查。</w:t>
      </w:r>
    </w:p>
    <w:p w:rsidR="000A6B2C" w:rsidRDefault="000A6B2C" w:rsidP="00EE72A8">
      <w:pPr>
        <w:ind w:firstLineChars="200" w:firstLine="560"/>
        <w:rPr>
          <w:sz w:val="28"/>
          <w:szCs w:val="28"/>
        </w:rPr>
      </w:pPr>
      <w:r>
        <w:rPr>
          <w:rFonts w:hint="eastAsia"/>
          <w:sz w:val="28"/>
          <w:szCs w:val="28"/>
        </w:rPr>
        <w:t>6</w:t>
      </w:r>
      <w:r>
        <w:rPr>
          <w:rFonts w:hint="eastAsia"/>
          <w:sz w:val="28"/>
          <w:szCs w:val="28"/>
        </w:rPr>
        <w:t>月</w:t>
      </w:r>
      <w:r>
        <w:rPr>
          <w:rFonts w:hint="eastAsia"/>
          <w:sz w:val="28"/>
          <w:szCs w:val="28"/>
        </w:rPr>
        <w:t>12</w:t>
      </w:r>
      <w:r>
        <w:rPr>
          <w:rFonts w:hint="eastAsia"/>
          <w:sz w:val="28"/>
          <w:szCs w:val="28"/>
        </w:rPr>
        <w:t>日，中兴宣布于</w:t>
      </w:r>
      <w:r>
        <w:rPr>
          <w:rFonts w:hint="eastAsia"/>
          <w:sz w:val="28"/>
          <w:szCs w:val="28"/>
        </w:rPr>
        <w:t>13</w:t>
      </w:r>
      <w:r>
        <w:rPr>
          <w:rFonts w:hint="eastAsia"/>
          <w:sz w:val="28"/>
          <w:szCs w:val="28"/>
        </w:rPr>
        <w:t>日恢复股票交易，从</w:t>
      </w:r>
      <w:r>
        <w:rPr>
          <w:rFonts w:hint="eastAsia"/>
          <w:sz w:val="28"/>
          <w:szCs w:val="28"/>
        </w:rPr>
        <w:t>4</w:t>
      </w:r>
      <w:r>
        <w:rPr>
          <w:rFonts w:hint="eastAsia"/>
          <w:sz w:val="28"/>
          <w:szCs w:val="28"/>
        </w:rPr>
        <w:t>月</w:t>
      </w:r>
      <w:r>
        <w:rPr>
          <w:rFonts w:hint="eastAsia"/>
          <w:sz w:val="28"/>
          <w:szCs w:val="28"/>
        </w:rPr>
        <w:t>17</w:t>
      </w:r>
      <w:r>
        <w:rPr>
          <w:rFonts w:hint="eastAsia"/>
          <w:sz w:val="28"/>
          <w:szCs w:val="28"/>
        </w:rPr>
        <w:t>日停牌近</w:t>
      </w:r>
      <w:r>
        <w:rPr>
          <w:rFonts w:hint="eastAsia"/>
          <w:sz w:val="28"/>
          <w:szCs w:val="28"/>
        </w:rPr>
        <w:t>2</w:t>
      </w:r>
      <w:r>
        <w:rPr>
          <w:rFonts w:hint="eastAsia"/>
          <w:sz w:val="28"/>
          <w:szCs w:val="28"/>
        </w:rPr>
        <w:t>个月</w:t>
      </w:r>
      <w:r w:rsidR="00657415">
        <w:rPr>
          <w:rFonts w:hint="eastAsia"/>
          <w:sz w:val="28"/>
          <w:szCs w:val="28"/>
        </w:rPr>
        <w:t>，</w:t>
      </w:r>
      <w:r>
        <w:rPr>
          <w:rFonts w:hint="eastAsia"/>
          <w:sz w:val="28"/>
          <w:szCs w:val="28"/>
        </w:rPr>
        <w:t>复牌后市值</w:t>
      </w:r>
      <w:r w:rsidR="00657415">
        <w:rPr>
          <w:rFonts w:hint="eastAsia"/>
          <w:sz w:val="28"/>
          <w:szCs w:val="28"/>
        </w:rPr>
        <w:t>下跌</w:t>
      </w:r>
      <w:r w:rsidR="00657415">
        <w:rPr>
          <w:rFonts w:hint="eastAsia"/>
          <w:sz w:val="28"/>
          <w:szCs w:val="28"/>
        </w:rPr>
        <w:t>4</w:t>
      </w:r>
      <w:r>
        <w:rPr>
          <w:rFonts w:hint="eastAsia"/>
          <w:sz w:val="28"/>
          <w:szCs w:val="28"/>
        </w:rPr>
        <w:t>0%</w:t>
      </w:r>
      <w:r>
        <w:rPr>
          <w:rFonts w:hint="eastAsia"/>
          <w:sz w:val="28"/>
          <w:szCs w:val="28"/>
        </w:rPr>
        <w:t>。</w:t>
      </w:r>
      <w:r w:rsidR="00657415">
        <w:rPr>
          <w:rFonts w:hint="eastAsia"/>
          <w:sz w:val="28"/>
          <w:szCs w:val="28"/>
        </w:rPr>
        <w:t>按此计算，一天市值缩水</w:t>
      </w:r>
      <w:r w:rsidR="00657415">
        <w:rPr>
          <w:rFonts w:hint="eastAsia"/>
          <w:sz w:val="28"/>
          <w:szCs w:val="28"/>
        </w:rPr>
        <w:t>160</w:t>
      </w:r>
      <w:r w:rsidR="00657415">
        <w:rPr>
          <w:rFonts w:hint="eastAsia"/>
          <w:sz w:val="28"/>
          <w:szCs w:val="28"/>
        </w:rPr>
        <w:t>亿元。</w:t>
      </w:r>
    </w:p>
    <w:p w:rsidR="00C72705" w:rsidRDefault="00C72705" w:rsidP="00EE72A8">
      <w:pPr>
        <w:ind w:firstLineChars="200" w:firstLine="560"/>
        <w:rPr>
          <w:sz w:val="28"/>
          <w:szCs w:val="28"/>
        </w:rPr>
      </w:pPr>
      <w:r>
        <w:rPr>
          <w:rFonts w:hint="eastAsia"/>
          <w:sz w:val="28"/>
          <w:szCs w:val="28"/>
        </w:rPr>
        <w:t>7</w:t>
      </w:r>
      <w:r>
        <w:rPr>
          <w:rFonts w:hint="eastAsia"/>
          <w:sz w:val="28"/>
          <w:szCs w:val="28"/>
        </w:rPr>
        <w:t>月</w:t>
      </w:r>
      <w:r>
        <w:rPr>
          <w:rFonts w:hint="eastAsia"/>
          <w:sz w:val="28"/>
          <w:szCs w:val="28"/>
        </w:rPr>
        <w:t>13</w:t>
      </w:r>
      <w:r>
        <w:rPr>
          <w:rFonts w:hint="eastAsia"/>
          <w:sz w:val="28"/>
          <w:szCs w:val="28"/>
        </w:rPr>
        <w:t>日，美国商务部长罗斯宣布，中兴已将</w:t>
      </w:r>
      <w:r>
        <w:rPr>
          <w:rFonts w:hint="eastAsia"/>
          <w:sz w:val="28"/>
          <w:szCs w:val="28"/>
        </w:rPr>
        <w:t>4</w:t>
      </w:r>
      <w:r>
        <w:rPr>
          <w:rFonts w:hint="eastAsia"/>
          <w:sz w:val="28"/>
          <w:szCs w:val="28"/>
        </w:rPr>
        <w:t>亿美元保证金存入美国一家银行的托管账户，商务部决定取消对中兴的禁令。同时声明，“商务部会继续保持警惕，密切监控中兴公司的行动，确保他们遵守美国的全部法律和规定”。</w:t>
      </w:r>
      <w:r w:rsidR="00585206">
        <w:rPr>
          <w:rFonts w:hint="eastAsia"/>
          <w:sz w:val="28"/>
          <w:szCs w:val="28"/>
        </w:rPr>
        <w:t>至此，中兴事件暂告结束。</w:t>
      </w:r>
    </w:p>
    <w:p w:rsidR="00585206" w:rsidRDefault="00585206" w:rsidP="00EE72A8">
      <w:pPr>
        <w:ind w:firstLineChars="200" w:firstLine="560"/>
        <w:rPr>
          <w:sz w:val="28"/>
          <w:szCs w:val="28"/>
        </w:rPr>
      </w:pPr>
      <w:r>
        <w:rPr>
          <w:rFonts w:hint="eastAsia"/>
          <w:sz w:val="28"/>
          <w:szCs w:val="28"/>
        </w:rPr>
        <w:t>与此同时，中兴发布</w:t>
      </w:r>
      <w:r>
        <w:rPr>
          <w:rFonts w:hint="eastAsia"/>
          <w:sz w:val="28"/>
          <w:szCs w:val="28"/>
        </w:rPr>
        <w:t>2018</w:t>
      </w:r>
      <w:r>
        <w:rPr>
          <w:rFonts w:hint="eastAsia"/>
          <w:sz w:val="28"/>
          <w:szCs w:val="28"/>
        </w:rPr>
        <w:t>年上半年业绩公告，今年上半年预亏</w:t>
      </w:r>
      <w:r>
        <w:rPr>
          <w:rFonts w:hint="eastAsia"/>
          <w:sz w:val="28"/>
          <w:szCs w:val="28"/>
        </w:rPr>
        <w:t>70-90</w:t>
      </w:r>
      <w:r>
        <w:rPr>
          <w:rFonts w:hint="eastAsia"/>
          <w:sz w:val="28"/>
          <w:szCs w:val="28"/>
        </w:rPr>
        <w:t>亿元，上年同期盈利</w:t>
      </w:r>
      <w:r>
        <w:rPr>
          <w:rFonts w:hint="eastAsia"/>
          <w:sz w:val="28"/>
          <w:szCs w:val="28"/>
        </w:rPr>
        <w:t>22.93</w:t>
      </w:r>
      <w:r>
        <w:rPr>
          <w:rFonts w:hint="eastAsia"/>
          <w:sz w:val="28"/>
          <w:szCs w:val="28"/>
        </w:rPr>
        <w:t>亿元。</w:t>
      </w:r>
    </w:p>
    <w:p w:rsidR="00585206" w:rsidRDefault="00585206" w:rsidP="00EE72A8">
      <w:pPr>
        <w:ind w:firstLineChars="200" w:firstLine="560"/>
        <w:rPr>
          <w:sz w:val="28"/>
          <w:szCs w:val="28"/>
        </w:rPr>
      </w:pPr>
    </w:p>
    <w:p w:rsidR="00585206" w:rsidRPr="00F84F48" w:rsidRDefault="00F84F48" w:rsidP="00F84F48">
      <w:pPr>
        <w:pStyle w:val="a5"/>
        <w:ind w:left="720" w:firstLineChars="0" w:firstLine="0"/>
        <w:rPr>
          <w:sz w:val="28"/>
          <w:szCs w:val="28"/>
        </w:rPr>
      </w:pPr>
      <w:r>
        <w:rPr>
          <w:rFonts w:hint="eastAsia"/>
          <w:sz w:val="28"/>
          <w:szCs w:val="28"/>
        </w:rPr>
        <w:t>3</w:t>
      </w:r>
      <w:r>
        <w:rPr>
          <w:rFonts w:hint="eastAsia"/>
          <w:sz w:val="28"/>
          <w:szCs w:val="28"/>
        </w:rPr>
        <w:t>．</w:t>
      </w:r>
      <w:r w:rsidR="00541B43" w:rsidRPr="00F84F48">
        <w:rPr>
          <w:rFonts w:hint="eastAsia"/>
          <w:sz w:val="28"/>
          <w:szCs w:val="28"/>
        </w:rPr>
        <w:t>贸易战为什么没有避免？</w:t>
      </w:r>
    </w:p>
    <w:p w:rsidR="00541B43" w:rsidRDefault="00F84F48" w:rsidP="0019211D">
      <w:pPr>
        <w:ind w:firstLineChars="200" w:firstLine="560"/>
        <w:rPr>
          <w:sz w:val="28"/>
          <w:szCs w:val="28"/>
        </w:rPr>
      </w:pPr>
      <w:r w:rsidRPr="0019211D">
        <w:rPr>
          <w:rFonts w:hint="eastAsia"/>
          <w:sz w:val="28"/>
          <w:szCs w:val="28"/>
        </w:rPr>
        <w:t>从前面的梳理中可以看出，此次贸易战本来可以避免，</w:t>
      </w:r>
      <w:r w:rsidR="0019211D">
        <w:rPr>
          <w:rFonts w:hint="eastAsia"/>
          <w:sz w:val="28"/>
          <w:szCs w:val="28"/>
        </w:rPr>
        <w:t>官方</w:t>
      </w:r>
      <w:r w:rsidRPr="0019211D">
        <w:rPr>
          <w:rFonts w:hint="eastAsia"/>
          <w:sz w:val="28"/>
          <w:szCs w:val="28"/>
        </w:rPr>
        <w:t>把责任全部归于美国，</w:t>
      </w:r>
      <w:r w:rsidR="0019211D">
        <w:rPr>
          <w:rFonts w:hint="eastAsia"/>
          <w:sz w:val="28"/>
          <w:szCs w:val="28"/>
        </w:rPr>
        <w:t>说美国出尔反尔，恐怕有失公允。</w:t>
      </w:r>
      <w:r w:rsidR="00D36A79">
        <w:rPr>
          <w:rFonts w:hint="eastAsia"/>
          <w:sz w:val="28"/>
          <w:szCs w:val="28"/>
        </w:rPr>
        <w:t>我们也有一部分责任吧！</w:t>
      </w:r>
      <w:r w:rsidR="00B95C2D">
        <w:rPr>
          <w:rFonts w:hint="eastAsia"/>
          <w:sz w:val="28"/>
          <w:szCs w:val="28"/>
        </w:rPr>
        <w:t>须知，一个巴掌拍不响。</w:t>
      </w:r>
      <w:r w:rsidR="0019211D">
        <w:rPr>
          <w:rFonts w:hint="eastAsia"/>
          <w:sz w:val="28"/>
          <w:szCs w:val="28"/>
        </w:rPr>
        <w:t>因为，除了前</w:t>
      </w:r>
      <w:r w:rsidR="009918F8">
        <w:rPr>
          <w:rFonts w:hint="eastAsia"/>
          <w:sz w:val="28"/>
          <w:szCs w:val="28"/>
        </w:rPr>
        <w:t>述</w:t>
      </w:r>
      <w:r w:rsidR="0019211D">
        <w:rPr>
          <w:rFonts w:hint="eastAsia"/>
          <w:sz w:val="28"/>
          <w:szCs w:val="28"/>
        </w:rPr>
        <w:t>不到</w:t>
      </w:r>
      <w:r w:rsidR="0019211D">
        <w:rPr>
          <w:rFonts w:hint="eastAsia"/>
          <w:sz w:val="28"/>
          <w:szCs w:val="28"/>
        </w:rPr>
        <w:t>400</w:t>
      </w:r>
      <w:r w:rsidR="0019211D">
        <w:rPr>
          <w:rFonts w:hint="eastAsia"/>
          <w:sz w:val="28"/>
          <w:szCs w:val="28"/>
        </w:rPr>
        <w:t>字的联合声明和外交辞令的答记者问之外，国内没有公布任何其他有关贸易谈判的信息，连美国提出的一揽子计划也未公开。</w:t>
      </w:r>
      <w:r w:rsidR="002946EC">
        <w:rPr>
          <w:rFonts w:hint="eastAsia"/>
          <w:sz w:val="28"/>
          <w:szCs w:val="28"/>
        </w:rPr>
        <w:t>如果</w:t>
      </w:r>
      <w:r w:rsidR="00DB3A8D">
        <w:rPr>
          <w:rFonts w:hint="eastAsia"/>
          <w:sz w:val="28"/>
          <w:szCs w:val="28"/>
        </w:rPr>
        <w:t>认为它霸道不公、漫天要价，</w:t>
      </w:r>
      <w:r w:rsidR="002946EC">
        <w:rPr>
          <w:rFonts w:hint="eastAsia"/>
          <w:sz w:val="28"/>
          <w:szCs w:val="28"/>
        </w:rPr>
        <w:t>公布后逐条批驳，人们</w:t>
      </w:r>
      <w:r w:rsidR="008057B0">
        <w:rPr>
          <w:rFonts w:hint="eastAsia"/>
          <w:sz w:val="28"/>
          <w:szCs w:val="28"/>
        </w:rPr>
        <w:t>也会看到美国是否要价过高，都</w:t>
      </w:r>
      <w:r w:rsidR="002946EC">
        <w:rPr>
          <w:rFonts w:hint="eastAsia"/>
          <w:sz w:val="28"/>
          <w:szCs w:val="28"/>
        </w:rPr>
        <w:t>会</w:t>
      </w:r>
      <w:r w:rsidR="008057B0">
        <w:rPr>
          <w:rFonts w:hint="eastAsia"/>
          <w:sz w:val="28"/>
          <w:szCs w:val="28"/>
        </w:rPr>
        <w:t>做出</w:t>
      </w:r>
      <w:r w:rsidR="002946EC">
        <w:rPr>
          <w:rFonts w:hint="eastAsia"/>
          <w:sz w:val="28"/>
          <w:szCs w:val="28"/>
        </w:rPr>
        <w:t>自己的判断。</w:t>
      </w:r>
    </w:p>
    <w:p w:rsidR="002946EC" w:rsidRDefault="002946EC" w:rsidP="0019211D">
      <w:pPr>
        <w:ind w:firstLineChars="200" w:firstLine="560"/>
        <w:rPr>
          <w:sz w:val="28"/>
          <w:szCs w:val="28"/>
        </w:rPr>
      </w:pPr>
      <w:r>
        <w:rPr>
          <w:rFonts w:hint="eastAsia"/>
          <w:sz w:val="28"/>
          <w:szCs w:val="28"/>
        </w:rPr>
        <w:t>在第</w:t>
      </w:r>
      <w:r>
        <w:rPr>
          <w:rFonts w:hint="eastAsia"/>
          <w:sz w:val="28"/>
          <w:szCs w:val="28"/>
        </w:rPr>
        <w:t>1</w:t>
      </w:r>
      <w:r>
        <w:rPr>
          <w:rFonts w:hint="eastAsia"/>
          <w:sz w:val="28"/>
          <w:szCs w:val="28"/>
        </w:rPr>
        <w:t>季度的讨论中，我们明确指出，中美争端决不仅仅是、也</w:t>
      </w:r>
      <w:r>
        <w:rPr>
          <w:rFonts w:hint="eastAsia"/>
          <w:sz w:val="28"/>
          <w:szCs w:val="28"/>
        </w:rPr>
        <w:lastRenderedPageBreak/>
        <w:t>主要不是贸易及其差额问题，但从第二次谈判后我们只提及增加进口</w:t>
      </w:r>
      <w:r>
        <w:rPr>
          <w:rFonts w:hint="eastAsia"/>
          <w:sz w:val="28"/>
          <w:szCs w:val="28"/>
        </w:rPr>
        <w:t>700</w:t>
      </w:r>
      <w:r>
        <w:rPr>
          <w:rFonts w:hint="eastAsia"/>
          <w:sz w:val="28"/>
          <w:szCs w:val="28"/>
        </w:rPr>
        <w:t>亿美元美国商品看，我们简单地把它作为贸易问题来处理。</w:t>
      </w:r>
      <w:r w:rsidR="00D36A79">
        <w:rPr>
          <w:rFonts w:hint="eastAsia"/>
          <w:sz w:val="28"/>
          <w:szCs w:val="28"/>
        </w:rPr>
        <w:t>这也许是谈判失败的原因之一吧。</w:t>
      </w:r>
    </w:p>
    <w:p w:rsidR="009918F8" w:rsidRDefault="000F7A86" w:rsidP="0019211D">
      <w:pPr>
        <w:ind w:firstLineChars="200" w:firstLine="560"/>
        <w:rPr>
          <w:sz w:val="28"/>
          <w:szCs w:val="28"/>
        </w:rPr>
      </w:pPr>
      <w:r>
        <w:rPr>
          <w:rFonts w:hint="eastAsia"/>
          <w:sz w:val="28"/>
          <w:szCs w:val="28"/>
        </w:rPr>
        <w:t>有人说，</w:t>
      </w:r>
      <w:r w:rsidR="004D79FB">
        <w:rPr>
          <w:rFonts w:hint="eastAsia"/>
          <w:sz w:val="28"/>
          <w:szCs w:val="28"/>
        </w:rPr>
        <w:t>贸易谈判，讨价还价，争的不是气，而是利</w:t>
      </w:r>
      <w:r w:rsidR="00D36A79">
        <w:rPr>
          <w:rFonts w:hint="eastAsia"/>
          <w:sz w:val="28"/>
          <w:szCs w:val="28"/>
        </w:rPr>
        <w:t>。</w:t>
      </w:r>
      <w:r>
        <w:rPr>
          <w:rFonts w:hint="eastAsia"/>
          <w:sz w:val="28"/>
          <w:szCs w:val="28"/>
        </w:rPr>
        <w:t>此话一语中的，千真万确。</w:t>
      </w:r>
      <w:r w:rsidR="004D79FB">
        <w:rPr>
          <w:rFonts w:hint="eastAsia"/>
          <w:sz w:val="28"/>
          <w:szCs w:val="28"/>
        </w:rPr>
        <w:t>但是</w:t>
      </w:r>
      <w:r w:rsidR="00D36A79">
        <w:rPr>
          <w:rFonts w:hint="eastAsia"/>
          <w:sz w:val="28"/>
          <w:szCs w:val="28"/>
        </w:rPr>
        <w:t>争</w:t>
      </w:r>
      <w:r w:rsidR="004D79FB">
        <w:rPr>
          <w:rFonts w:hint="eastAsia"/>
          <w:sz w:val="28"/>
          <w:szCs w:val="28"/>
        </w:rPr>
        <w:t>谁的利，却大不一样。</w:t>
      </w:r>
      <w:r w:rsidR="009918F8">
        <w:rPr>
          <w:rFonts w:hint="eastAsia"/>
          <w:sz w:val="28"/>
          <w:szCs w:val="28"/>
        </w:rPr>
        <w:t>在第</w:t>
      </w:r>
      <w:r w:rsidR="009918F8">
        <w:rPr>
          <w:rFonts w:hint="eastAsia"/>
          <w:sz w:val="28"/>
          <w:szCs w:val="28"/>
        </w:rPr>
        <w:t xml:space="preserve">1 </w:t>
      </w:r>
      <w:r w:rsidR="009918F8">
        <w:rPr>
          <w:rFonts w:hint="eastAsia"/>
          <w:sz w:val="28"/>
          <w:szCs w:val="28"/>
        </w:rPr>
        <w:t>季度的讨论中，我们同意一般的看法，贸易战对双方都没有好处，那么，其反命题也必然成立。</w:t>
      </w:r>
      <w:r w:rsidR="00DB3A8D">
        <w:rPr>
          <w:rFonts w:hint="eastAsia"/>
          <w:sz w:val="28"/>
          <w:szCs w:val="28"/>
        </w:rPr>
        <w:t>这是把双方作为一个整体来看的，</w:t>
      </w:r>
      <w:r w:rsidR="009918F8">
        <w:rPr>
          <w:rFonts w:hint="eastAsia"/>
          <w:sz w:val="28"/>
          <w:szCs w:val="28"/>
        </w:rPr>
        <w:t>但</w:t>
      </w:r>
      <w:r w:rsidR="00DB3A8D">
        <w:rPr>
          <w:rFonts w:hint="eastAsia"/>
          <w:sz w:val="28"/>
          <w:szCs w:val="28"/>
        </w:rPr>
        <w:t>如果进行</w:t>
      </w:r>
      <w:r w:rsidR="009918F8">
        <w:rPr>
          <w:rFonts w:hint="eastAsia"/>
          <w:sz w:val="28"/>
          <w:szCs w:val="28"/>
        </w:rPr>
        <w:t>具体</w:t>
      </w:r>
      <w:r w:rsidR="00DB3A8D">
        <w:rPr>
          <w:rFonts w:hint="eastAsia"/>
          <w:sz w:val="28"/>
          <w:szCs w:val="28"/>
        </w:rPr>
        <w:t>的结构</w:t>
      </w:r>
      <w:r w:rsidR="009918F8">
        <w:rPr>
          <w:rFonts w:hint="eastAsia"/>
          <w:sz w:val="28"/>
          <w:szCs w:val="28"/>
        </w:rPr>
        <w:t>分析，</w:t>
      </w:r>
      <w:r w:rsidR="00DB3A8D">
        <w:rPr>
          <w:rFonts w:hint="eastAsia"/>
          <w:sz w:val="28"/>
          <w:szCs w:val="28"/>
        </w:rPr>
        <w:t>那</w:t>
      </w:r>
      <w:r w:rsidR="009918F8">
        <w:rPr>
          <w:rFonts w:hint="eastAsia"/>
          <w:sz w:val="28"/>
          <w:szCs w:val="28"/>
        </w:rPr>
        <w:t>却大有学问。一般来说，</w:t>
      </w:r>
      <w:r w:rsidR="004C6C64">
        <w:rPr>
          <w:rFonts w:hint="eastAsia"/>
          <w:sz w:val="28"/>
          <w:szCs w:val="28"/>
        </w:rPr>
        <w:t>贸易战对消费者的影响是负</w:t>
      </w:r>
      <w:r w:rsidR="00D36A79">
        <w:rPr>
          <w:rFonts w:hint="eastAsia"/>
          <w:sz w:val="28"/>
          <w:szCs w:val="28"/>
        </w:rPr>
        <w:t>面</w:t>
      </w:r>
      <w:r w:rsidR="004C6C64">
        <w:rPr>
          <w:rFonts w:hint="eastAsia"/>
          <w:sz w:val="28"/>
          <w:szCs w:val="28"/>
        </w:rPr>
        <w:t>的，避免贸易</w:t>
      </w:r>
      <w:proofErr w:type="gramStart"/>
      <w:r w:rsidR="004C6C64">
        <w:rPr>
          <w:rFonts w:hint="eastAsia"/>
          <w:sz w:val="28"/>
          <w:szCs w:val="28"/>
        </w:rPr>
        <w:t>战自然</w:t>
      </w:r>
      <w:proofErr w:type="gramEnd"/>
      <w:r w:rsidR="004C6C64">
        <w:rPr>
          <w:rFonts w:hint="eastAsia"/>
          <w:sz w:val="28"/>
          <w:szCs w:val="28"/>
        </w:rPr>
        <w:t>是正面的。</w:t>
      </w:r>
      <w:r>
        <w:rPr>
          <w:rFonts w:hint="eastAsia"/>
          <w:sz w:val="28"/>
          <w:szCs w:val="28"/>
        </w:rPr>
        <w:t>但双方的条件不同，争执的内容不同，对其消费者的影响也不同，我们</w:t>
      </w:r>
      <w:r w:rsidR="004C6C64">
        <w:rPr>
          <w:rFonts w:hint="eastAsia"/>
          <w:sz w:val="28"/>
          <w:szCs w:val="28"/>
        </w:rPr>
        <w:t>具体</w:t>
      </w:r>
      <w:r>
        <w:rPr>
          <w:rFonts w:hint="eastAsia"/>
          <w:sz w:val="28"/>
          <w:szCs w:val="28"/>
        </w:rPr>
        <w:t>讨论</w:t>
      </w:r>
      <w:r w:rsidR="004C6C64">
        <w:rPr>
          <w:rFonts w:hint="eastAsia"/>
          <w:sz w:val="28"/>
          <w:szCs w:val="28"/>
        </w:rPr>
        <w:t>这次贸易战</w:t>
      </w:r>
      <w:r>
        <w:rPr>
          <w:rFonts w:hint="eastAsia"/>
          <w:sz w:val="28"/>
          <w:szCs w:val="28"/>
        </w:rPr>
        <w:t>对中国的影响。</w:t>
      </w:r>
      <w:r w:rsidR="004C6C64">
        <w:rPr>
          <w:rFonts w:hint="eastAsia"/>
          <w:sz w:val="28"/>
          <w:szCs w:val="28"/>
        </w:rPr>
        <w:t>如能避免</w:t>
      </w:r>
      <w:r>
        <w:rPr>
          <w:rFonts w:hint="eastAsia"/>
          <w:sz w:val="28"/>
          <w:szCs w:val="28"/>
        </w:rPr>
        <w:t>贸易战</w:t>
      </w:r>
      <w:r w:rsidR="004C6C64">
        <w:rPr>
          <w:rFonts w:hint="eastAsia"/>
          <w:sz w:val="28"/>
          <w:szCs w:val="28"/>
        </w:rPr>
        <w:t>，中国消费者不仅可以享用更多高质量的美国产品，更重要的是双方争论的焦点是中国进一步开放市场，</w:t>
      </w:r>
      <w:r>
        <w:rPr>
          <w:rFonts w:hint="eastAsia"/>
          <w:sz w:val="28"/>
          <w:szCs w:val="28"/>
        </w:rPr>
        <w:t>中国也需要开放市场，国家领导人也公开承诺扩大开放，</w:t>
      </w:r>
      <w:r w:rsidR="004C6C64">
        <w:rPr>
          <w:rFonts w:hint="eastAsia"/>
          <w:sz w:val="28"/>
          <w:szCs w:val="28"/>
        </w:rPr>
        <w:t>这对中国消费者的好处更大。有人已经清楚地指出了这一点，</w:t>
      </w:r>
      <w:r w:rsidR="00D14106">
        <w:rPr>
          <w:rFonts w:hint="eastAsia"/>
          <w:sz w:val="28"/>
          <w:szCs w:val="28"/>
        </w:rPr>
        <w:t>比如，开放教育、医疗等服务市场，中国一般老百姓就不需要像现在高官显贵们</w:t>
      </w:r>
      <w:r w:rsidR="00D36A79">
        <w:rPr>
          <w:rFonts w:hint="eastAsia"/>
          <w:sz w:val="28"/>
          <w:szCs w:val="28"/>
        </w:rPr>
        <w:t>那样</w:t>
      </w:r>
      <w:r w:rsidR="00D14106">
        <w:rPr>
          <w:rFonts w:hint="eastAsia"/>
          <w:sz w:val="28"/>
          <w:szCs w:val="28"/>
        </w:rPr>
        <w:t>把孩子送到美国，就可以接受到同样的教育。更重要的是中国教育体制的改革就可能取得真正的突破，因为，有了比较，有了竞争，消费者</w:t>
      </w:r>
      <w:r w:rsidR="00721225">
        <w:rPr>
          <w:rFonts w:hint="eastAsia"/>
          <w:sz w:val="28"/>
          <w:szCs w:val="28"/>
        </w:rPr>
        <w:t>就有了更多的选择</w:t>
      </w:r>
      <w:r>
        <w:rPr>
          <w:rFonts w:hint="eastAsia"/>
          <w:sz w:val="28"/>
          <w:szCs w:val="28"/>
        </w:rPr>
        <w:t>，改革也就有了压力和动力</w:t>
      </w:r>
      <w:r w:rsidR="00721225">
        <w:rPr>
          <w:rFonts w:hint="eastAsia"/>
          <w:sz w:val="28"/>
          <w:szCs w:val="28"/>
        </w:rPr>
        <w:t>。再如，如果</w:t>
      </w:r>
      <w:proofErr w:type="gramStart"/>
      <w:r w:rsidR="00721225">
        <w:rPr>
          <w:rFonts w:hint="eastAsia"/>
          <w:sz w:val="28"/>
          <w:szCs w:val="28"/>
        </w:rPr>
        <w:t>让谷歌</w:t>
      </w:r>
      <w:proofErr w:type="gramEnd"/>
      <w:r w:rsidR="00721225">
        <w:rPr>
          <w:rFonts w:hint="eastAsia"/>
          <w:sz w:val="28"/>
          <w:szCs w:val="28"/>
        </w:rPr>
        <w:t>等企业进入，</w:t>
      </w:r>
      <w:r w:rsidR="00D14106">
        <w:rPr>
          <w:rFonts w:hint="eastAsia"/>
          <w:sz w:val="28"/>
          <w:szCs w:val="28"/>
        </w:rPr>
        <w:t>现行的言论控制</w:t>
      </w:r>
      <w:r w:rsidR="00721225">
        <w:rPr>
          <w:rFonts w:hint="eastAsia"/>
          <w:sz w:val="28"/>
          <w:szCs w:val="28"/>
        </w:rPr>
        <w:t>和互联网管制</w:t>
      </w:r>
      <w:r w:rsidR="00D14106">
        <w:rPr>
          <w:rFonts w:hint="eastAsia"/>
          <w:sz w:val="28"/>
          <w:szCs w:val="28"/>
        </w:rPr>
        <w:t>恐怕也就难以</w:t>
      </w:r>
      <w:r w:rsidR="00D36A79">
        <w:rPr>
          <w:rFonts w:hint="eastAsia"/>
          <w:sz w:val="28"/>
          <w:szCs w:val="28"/>
        </w:rPr>
        <w:t>为继</w:t>
      </w:r>
      <w:r w:rsidR="00721225">
        <w:rPr>
          <w:rFonts w:hint="eastAsia"/>
          <w:sz w:val="28"/>
          <w:szCs w:val="28"/>
        </w:rPr>
        <w:t>，国内老百姓就可以从网上了解到更多</w:t>
      </w:r>
      <w:r>
        <w:rPr>
          <w:rFonts w:hint="eastAsia"/>
          <w:sz w:val="28"/>
          <w:szCs w:val="28"/>
        </w:rPr>
        <w:t>的</w:t>
      </w:r>
      <w:r w:rsidR="00721225">
        <w:rPr>
          <w:rFonts w:hint="eastAsia"/>
          <w:sz w:val="28"/>
          <w:szCs w:val="28"/>
        </w:rPr>
        <w:t>信息，不至于现在打开手机上网，这个屏蔽，那个</w:t>
      </w:r>
      <w:proofErr w:type="gramStart"/>
      <w:r w:rsidR="00721225">
        <w:rPr>
          <w:rFonts w:hint="eastAsia"/>
          <w:sz w:val="28"/>
          <w:szCs w:val="28"/>
        </w:rPr>
        <w:t>删</w:t>
      </w:r>
      <w:proofErr w:type="gramEnd"/>
      <w:r w:rsidR="00721225">
        <w:rPr>
          <w:rFonts w:hint="eastAsia"/>
          <w:sz w:val="28"/>
          <w:szCs w:val="28"/>
        </w:rPr>
        <w:t>贴</w:t>
      </w:r>
      <w:r w:rsidR="009F13CF">
        <w:rPr>
          <w:rFonts w:hint="eastAsia"/>
          <w:sz w:val="28"/>
          <w:szCs w:val="28"/>
        </w:rPr>
        <w:t>，人们不得不翻墙去看</w:t>
      </w:r>
      <w:r w:rsidR="00D14106">
        <w:rPr>
          <w:rFonts w:hint="eastAsia"/>
          <w:sz w:val="28"/>
          <w:szCs w:val="28"/>
        </w:rPr>
        <w:t>。</w:t>
      </w:r>
      <w:r w:rsidR="00721225">
        <w:rPr>
          <w:rFonts w:hint="eastAsia"/>
          <w:sz w:val="28"/>
          <w:szCs w:val="28"/>
        </w:rPr>
        <w:t>当然，</w:t>
      </w:r>
      <w:r w:rsidR="00D36A79">
        <w:rPr>
          <w:rFonts w:hint="eastAsia"/>
          <w:sz w:val="28"/>
          <w:szCs w:val="28"/>
        </w:rPr>
        <w:t>这是教育部门和宣传部门</w:t>
      </w:r>
      <w:r w:rsidR="00721225">
        <w:rPr>
          <w:rFonts w:hint="eastAsia"/>
          <w:sz w:val="28"/>
          <w:szCs w:val="28"/>
        </w:rPr>
        <w:t>及其上级</w:t>
      </w:r>
      <w:r w:rsidR="00D36A79">
        <w:rPr>
          <w:rFonts w:hint="eastAsia"/>
          <w:sz w:val="28"/>
          <w:szCs w:val="28"/>
        </w:rPr>
        <w:t>无法接受的。</w:t>
      </w:r>
      <w:r w:rsidR="00721225">
        <w:rPr>
          <w:rFonts w:hint="eastAsia"/>
          <w:sz w:val="28"/>
          <w:szCs w:val="28"/>
        </w:rPr>
        <w:t>还</w:t>
      </w:r>
      <w:r w:rsidR="00CF7006">
        <w:rPr>
          <w:rFonts w:hint="eastAsia"/>
          <w:sz w:val="28"/>
          <w:szCs w:val="28"/>
        </w:rPr>
        <w:t>如，开放市场，国内的行政性垄断就难以推行，国企垄断</w:t>
      </w:r>
      <w:r w:rsidR="00CF7006">
        <w:rPr>
          <w:rFonts w:hint="eastAsia"/>
          <w:sz w:val="28"/>
          <w:szCs w:val="28"/>
        </w:rPr>
        <w:lastRenderedPageBreak/>
        <w:t>也会打破，消费者也不会因为电信垄断而支付更高的资费，也不会因为金融垄断</w:t>
      </w:r>
      <w:r w:rsidR="00721225">
        <w:rPr>
          <w:rFonts w:hint="eastAsia"/>
          <w:sz w:val="28"/>
          <w:szCs w:val="28"/>
        </w:rPr>
        <w:t>，</w:t>
      </w:r>
      <w:r w:rsidR="00EF7DA9">
        <w:rPr>
          <w:rFonts w:hint="eastAsia"/>
          <w:sz w:val="28"/>
          <w:szCs w:val="28"/>
        </w:rPr>
        <w:t>银行赚得满盆满钵，而老百姓</w:t>
      </w:r>
      <w:r w:rsidR="00CF7006">
        <w:rPr>
          <w:rFonts w:hint="eastAsia"/>
          <w:sz w:val="28"/>
          <w:szCs w:val="28"/>
        </w:rPr>
        <w:t>存款还要倒贴</w:t>
      </w:r>
      <w:r w:rsidR="00EF7DA9">
        <w:rPr>
          <w:rFonts w:hint="eastAsia"/>
          <w:sz w:val="28"/>
          <w:szCs w:val="28"/>
        </w:rPr>
        <w:t>（负实际利率）</w:t>
      </w:r>
      <w:r w:rsidR="00CF7006">
        <w:rPr>
          <w:rFonts w:hint="eastAsia"/>
          <w:sz w:val="28"/>
          <w:szCs w:val="28"/>
        </w:rPr>
        <w:t>。</w:t>
      </w:r>
      <w:r w:rsidR="00EF7DA9">
        <w:rPr>
          <w:rFonts w:hint="eastAsia"/>
          <w:sz w:val="28"/>
          <w:szCs w:val="28"/>
        </w:rPr>
        <w:t>最近公布的世界</w:t>
      </w:r>
      <w:r w:rsidR="00EF7DA9">
        <w:rPr>
          <w:rFonts w:hint="eastAsia"/>
          <w:sz w:val="28"/>
          <w:szCs w:val="28"/>
        </w:rPr>
        <w:t>500</w:t>
      </w:r>
      <w:r w:rsidR="00721225">
        <w:rPr>
          <w:rFonts w:hint="eastAsia"/>
          <w:sz w:val="28"/>
          <w:szCs w:val="28"/>
        </w:rPr>
        <w:t>强就是最好的证明。</w:t>
      </w:r>
      <w:r w:rsidR="00EF7DA9">
        <w:rPr>
          <w:rFonts w:hint="eastAsia"/>
          <w:sz w:val="28"/>
          <w:szCs w:val="28"/>
        </w:rPr>
        <w:t>在</w:t>
      </w:r>
      <w:r w:rsidR="00D36A79">
        <w:rPr>
          <w:rFonts w:hint="eastAsia"/>
          <w:sz w:val="28"/>
          <w:szCs w:val="28"/>
        </w:rPr>
        <w:t>2017</w:t>
      </w:r>
      <w:r w:rsidR="00D36A79">
        <w:rPr>
          <w:rFonts w:hint="eastAsia"/>
          <w:sz w:val="28"/>
          <w:szCs w:val="28"/>
        </w:rPr>
        <w:t>年</w:t>
      </w:r>
      <w:r w:rsidR="00EF7DA9">
        <w:rPr>
          <w:rFonts w:hint="eastAsia"/>
          <w:sz w:val="28"/>
          <w:szCs w:val="28"/>
        </w:rPr>
        <w:t>世界最赚钱的</w:t>
      </w:r>
      <w:r w:rsidR="00EF7DA9">
        <w:rPr>
          <w:rFonts w:hint="eastAsia"/>
          <w:sz w:val="28"/>
          <w:szCs w:val="28"/>
        </w:rPr>
        <w:t>10</w:t>
      </w:r>
      <w:r w:rsidR="00EF7DA9">
        <w:rPr>
          <w:rFonts w:hint="eastAsia"/>
          <w:sz w:val="28"/>
          <w:szCs w:val="28"/>
        </w:rPr>
        <w:t>家大企业中，除苹果公司第一外，中国的四大国有银行位列</w:t>
      </w:r>
      <w:r w:rsidR="008E6847">
        <w:rPr>
          <w:rFonts w:hint="eastAsia"/>
          <w:sz w:val="28"/>
          <w:szCs w:val="28"/>
        </w:rPr>
        <w:t>第</w:t>
      </w:r>
      <w:r w:rsidR="008E6847">
        <w:rPr>
          <w:rFonts w:hint="eastAsia"/>
          <w:sz w:val="28"/>
          <w:szCs w:val="28"/>
        </w:rPr>
        <w:t>4</w:t>
      </w:r>
      <w:r w:rsidR="008E6847">
        <w:rPr>
          <w:rFonts w:hint="eastAsia"/>
          <w:sz w:val="28"/>
          <w:szCs w:val="28"/>
        </w:rPr>
        <w:t>、</w:t>
      </w:r>
      <w:r w:rsidR="008E6847">
        <w:rPr>
          <w:rFonts w:hint="eastAsia"/>
          <w:sz w:val="28"/>
          <w:szCs w:val="28"/>
        </w:rPr>
        <w:t>6</w:t>
      </w:r>
      <w:r w:rsidR="008E6847">
        <w:rPr>
          <w:rFonts w:hint="eastAsia"/>
          <w:sz w:val="28"/>
          <w:szCs w:val="28"/>
        </w:rPr>
        <w:t>、</w:t>
      </w:r>
      <w:r w:rsidR="008E6847">
        <w:rPr>
          <w:rFonts w:hint="eastAsia"/>
          <w:sz w:val="28"/>
          <w:szCs w:val="28"/>
        </w:rPr>
        <w:t>9</w:t>
      </w:r>
      <w:r w:rsidR="008E6847">
        <w:rPr>
          <w:rFonts w:hint="eastAsia"/>
          <w:sz w:val="28"/>
          <w:szCs w:val="28"/>
        </w:rPr>
        <w:t>、</w:t>
      </w:r>
      <w:r w:rsidR="008E6847">
        <w:rPr>
          <w:rFonts w:hint="eastAsia"/>
          <w:sz w:val="28"/>
          <w:szCs w:val="28"/>
        </w:rPr>
        <w:t>10</w:t>
      </w:r>
      <w:r w:rsidR="00EF7DA9">
        <w:rPr>
          <w:rFonts w:hint="eastAsia"/>
          <w:sz w:val="28"/>
          <w:szCs w:val="28"/>
        </w:rPr>
        <w:t>，</w:t>
      </w:r>
      <w:r w:rsidR="004D79FB">
        <w:rPr>
          <w:rFonts w:hint="eastAsia"/>
          <w:sz w:val="28"/>
          <w:szCs w:val="28"/>
        </w:rPr>
        <w:t>其他均</w:t>
      </w:r>
      <w:r w:rsidR="00D36A79">
        <w:rPr>
          <w:rFonts w:hint="eastAsia"/>
          <w:sz w:val="28"/>
          <w:szCs w:val="28"/>
        </w:rPr>
        <w:t>为</w:t>
      </w:r>
      <w:r w:rsidR="004D79FB">
        <w:rPr>
          <w:rFonts w:hint="eastAsia"/>
          <w:sz w:val="28"/>
          <w:szCs w:val="28"/>
        </w:rPr>
        <w:t>非银行</w:t>
      </w:r>
      <w:r w:rsidR="00D36A79">
        <w:rPr>
          <w:rFonts w:hint="eastAsia"/>
          <w:sz w:val="28"/>
          <w:szCs w:val="28"/>
        </w:rPr>
        <w:t>企业</w:t>
      </w:r>
      <w:r w:rsidR="004D79FB">
        <w:rPr>
          <w:rFonts w:hint="eastAsia"/>
          <w:sz w:val="28"/>
          <w:szCs w:val="28"/>
        </w:rPr>
        <w:t>；</w:t>
      </w:r>
      <w:r w:rsidR="00EF7DA9">
        <w:rPr>
          <w:rFonts w:hint="eastAsia"/>
          <w:sz w:val="28"/>
          <w:szCs w:val="28"/>
        </w:rPr>
        <w:t>500</w:t>
      </w:r>
      <w:r w:rsidR="00EF7DA9">
        <w:rPr>
          <w:rFonts w:hint="eastAsia"/>
          <w:sz w:val="28"/>
          <w:szCs w:val="28"/>
        </w:rPr>
        <w:t>强中，美国上榜的银行有</w:t>
      </w:r>
      <w:r w:rsidR="00EF7DA9">
        <w:rPr>
          <w:rFonts w:hint="eastAsia"/>
          <w:sz w:val="28"/>
          <w:szCs w:val="28"/>
        </w:rPr>
        <w:t>8</w:t>
      </w:r>
      <w:r w:rsidR="00EF7DA9">
        <w:rPr>
          <w:rFonts w:hint="eastAsia"/>
          <w:sz w:val="28"/>
          <w:szCs w:val="28"/>
        </w:rPr>
        <w:t>家，平均利润</w:t>
      </w:r>
      <w:r w:rsidR="00EF7DA9">
        <w:rPr>
          <w:rFonts w:hint="eastAsia"/>
          <w:sz w:val="28"/>
          <w:szCs w:val="28"/>
        </w:rPr>
        <w:t>96</w:t>
      </w:r>
      <w:r w:rsidR="00EF7DA9">
        <w:rPr>
          <w:rFonts w:hint="eastAsia"/>
          <w:sz w:val="28"/>
          <w:szCs w:val="28"/>
        </w:rPr>
        <w:t>亿美元，中国上榜的银行有</w:t>
      </w:r>
      <w:r w:rsidR="00EF7DA9">
        <w:rPr>
          <w:rFonts w:hint="eastAsia"/>
          <w:sz w:val="28"/>
          <w:szCs w:val="28"/>
        </w:rPr>
        <w:t>11</w:t>
      </w:r>
      <w:r w:rsidR="00EF7DA9">
        <w:rPr>
          <w:rFonts w:hint="eastAsia"/>
          <w:sz w:val="28"/>
          <w:szCs w:val="28"/>
        </w:rPr>
        <w:t>家，平均利润</w:t>
      </w:r>
      <w:r w:rsidR="00EF7DA9">
        <w:rPr>
          <w:rFonts w:hint="eastAsia"/>
          <w:sz w:val="28"/>
          <w:szCs w:val="28"/>
        </w:rPr>
        <w:t>179</w:t>
      </w:r>
      <w:r w:rsidR="00EF7DA9">
        <w:rPr>
          <w:rFonts w:hint="eastAsia"/>
          <w:sz w:val="28"/>
          <w:szCs w:val="28"/>
        </w:rPr>
        <w:t>亿美元</w:t>
      </w:r>
      <w:r w:rsidR="00D36A79">
        <w:rPr>
          <w:rFonts w:hint="eastAsia"/>
          <w:sz w:val="28"/>
          <w:szCs w:val="28"/>
        </w:rPr>
        <w:t>，其中四大国有银行平均超过</w:t>
      </w:r>
      <w:r w:rsidR="00752BDB">
        <w:rPr>
          <w:rFonts w:hint="eastAsia"/>
          <w:sz w:val="28"/>
          <w:szCs w:val="28"/>
        </w:rPr>
        <w:t>3</w:t>
      </w:r>
      <w:r w:rsidR="00D36A79">
        <w:rPr>
          <w:rFonts w:hint="eastAsia"/>
          <w:sz w:val="28"/>
          <w:szCs w:val="28"/>
        </w:rPr>
        <w:t>30</w:t>
      </w:r>
      <w:r w:rsidR="00D36A79">
        <w:rPr>
          <w:rFonts w:hint="eastAsia"/>
          <w:sz w:val="28"/>
          <w:szCs w:val="28"/>
        </w:rPr>
        <w:t>亿</w:t>
      </w:r>
      <w:r w:rsidR="00721225">
        <w:rPr>
          <w:rFonts w:hint="eastAsia"/>
          <w:sz w:val="28"/>
          <w:szCs w:val="28"/>
        </w:rPr>
        <w:t>美</w:t>
      </w:r>
      <w:r w:rsidR="00D36A79">
        <w:rPr>
          <w:rFonts w:hint="eastAsia"/>
          <w:sz w:val="28"/>
          <w:szCs w:val="28"/>
        </w:rPr>
        <w:t>元</w:t>
      </w:r>
      <w:r w:rsidR="00EF7DA9">
        <w:rPr>
          <w:rFonts w:hint="eastAsia"/>
          <w:sz w:val="28"/>
          <w:szCs w:val="28"/>
        </w:rPr>
        <w:t>。</w:t>
      </w:r>
      <w:r w:rsidR="009F13CF">
        <w:rPr>
          <w:rFonts w:hint="eastAsia"/>
          <w:sz w:val="28"/>
          <w:szCs w:val="28"/>
        </w:rPr>
        <w:t>大概没有人相信中国银行比美国银行经营得好。</w:t>
      </w:r>
      <w:r w:rsidR="008E6847">
        <w:rPr>
          <w:rFonts w:hint="eastAsia"/>
          <w:sz w:val="28"/>
          <w:szCs w:val="28"/>
        </w:rPr>
        <w:t>就此而论，如果站在消费者的立场，</w:t>
      </w:r>
      <w:r w:rsidR="004D79FB">
        <w:rPr>
          <w:rFonts w:hint="eastAsia"/>
          <w:sz w:val="28"/>
          <w:szCs w:val="28"/>
        </w:rPr>
        <w:t>谈判不应破裂，</w:t>
      </w:r>
      <w:r w:rsidR="009F13CF">
        <w:rPr>
          <w:rFonts w:hint="eastAsia"/>
          <w:sz w:val="28"/>
          <w:szCs w:val="28"/>
        </w:rPr>
        <w:t>贸易战可以不打，</w:t>
      </w:r>
      <w:r w:rsidR="004D79FB">
        <w:rPr>
          <w:rFonts w:hint="eastAsia"/>
          <w:sz w:val="28"/>
          <w:szCs w:val="28"/>
        </w:rPr>
        <w:t>可以</w:t>
      </w:r>
      <w:r w:rsidR="00CE3D24">
        <w:rPr>
          <w:rFonts w:hint="eastAsia"/>
          <w:sz w:val="28"/>
          <w:szCs w:val="28"/>
        </w:rPr>
        <w:t>进一步协商，在风险可以承受和化解的情况下，</w:t>
      </w:r>
      <w:r w:rsidR="004D79FB">
        <w:rPr>
          <w:rFonts w:hint="eastAsia"/>
          <w:sz w:val="28"/>
          <w:szCs w:val="28"/>
        </w:rPr>
        <w:t>订出中国市场开放的时间表</w:t>
      </w:r>
      <w:r w:rsidR="00CE3D24">
        <w:rPr>
          <w:rFonts w:hint="eastAsia"/>
          <w:sz w:val="28"/>
          <w:szCs w:val="28"/>
        </w:rPr>
        <w:t>。</w:t>
      </w:r>
      <w:r w:rsidR="004D79FB">
        <w:rPr>
          <w:rFonts w:hint="eastAsia"/>
          <w:sz w:val="28"/>
          <w:szCs w:val="28"/>
        </w:rPr>
        <w:t>当然，如果从国有</w:t>
      </w:r>
      <w:r w:rsidR="00731D10">
        <w:rPr>
          <w:rFonts w:hint="eastAsia"/>
          <w:sz w:val="28"/>
          <w:szCs w:val="28"/>
        </w:rPr>
        <w:t>垄断</w:t>
      </w:r>
      <w:r w:rsidR="004D79FB">
        <w:rPr>
          <w:rFonts w:hint="eastAsia"/>
          <w:sz w:val="28"/>
          <w:szCs w:val="28"/>
        </w:rPr>
        <w:t>企业的立场来看，则应当拒绝市场开放，加强市场保护。</w:t>
      </w:r>
      <w:r w:rsidR="00CE3D24">
        <w:rPr>
          <w:rFonts w:hint="eastAsia"/>
          <w:sz w:val="28"/>
          <w:szCs w:val="28"/>
        </w:rPr>
        <w:t>因为，外</w:t>
      </w:r>
      <w:r w:rsidR="000C198E">
        <w:rPr>
          <w:rFonts w:hint="eastAsia"/>
          <w:sz w:val="28"/>
          <w:szCs w:val="28"/>
        </w:rPr>
        <w:t>资</w:t>
      </w:r>
      <w:r w:rsidR="00CE3D24">
        <w:rPr>
          <w:rFonts w:hint="eastAsia"/>
          <w:sz w:val="28"/>
          <w:szCs w:val="28"/>
        </w:rPr>
        <w:t>的进入和</w:t>
      </w:r>
      <w:proofErr w:type="gramStart"/>
      <w:r w:rsidR="00CE3D24">
        <w:rPr>
          <w:rFonts w:hint="eastAsia"/>
          <w:sz w:val="28"/>
          <w:szCs w:val="28"/>
        </w:rPr>
        <w:t>民资</w:t>
      </w:r>
      <w:proofErr w:type="gramEnd"/>
      <w:r w:rsidR="00CE3D24">
        <w:rPr>
          <w:rFonts w:hint="eastAsia"/>
          <w:sz w:val="28"/>
          <w:szCs w:val="28"/>
        </w:rPr>
        <w:t>的开放，</w:t>
      </w:r>
      <w:r w:rsidR="00752BDB">
        <w:rPr>
          <w:rFonts w:hint="eastAsia"/>
          <w:sz w:val="28"/>
          <w:szCs w:val="28"/>
        </w:rPr>
        <w:t>必然分走一部分蛋糕，</w:t>
      </w:r>
      <w:r w:rsidR="00731D10">
        <w:rPr>
          <w:rFonts w:hint="eastAsia"/>
          <w:sz w:val="28"/>
          <w:szCs w:val="28"/>
        </w:rPr>
        <w:t>对它来说是净损失。</w:t>
      </w:r>
      <w:r w:rsidR="009F13CF">
        <w:rPr>
          <w:rFonts w:hint="eastAsia"/>
          <w:sz w:val="28"/>
          <w:szCs w:val="28"/>
        </w:rPr>
        <w:t>比如，</w:t>
      </w:r>
      <w:r w:rsidR="004D79FB">
        <w:rPr>
          <w:rFonts w:hint="eastAsia"/>
          <w:sz w:val="28"/>
          <w:szCs w:val="28"/>
        </w:rPr>
        <w:t>如果金融开放，四大国有银行</w:t>
      </w:r>
      <w:r w:rsidR="009F13CF">
        <w:rPr>
          <w:rFonts w:hint="eastAsia"/>
          <w:sz w:val="28"/>
          <w:szCs w:val="28"/>
        </w:rPr>
        <w:t>就不会有那么多利润，其</w:t>
      </w:r>
      <w:r w:rsidR="004D79FB">
        <w:rPr>
          <w:rFonts w:hint="eastAsia"/>
          <w:sz w:val="28"/>
          <w:szCs w:val="28"/>
        </w:rPr>
        <w:t>日子就没有那么好过了。</w:t>
      </w:r>
      <w:r w:rsidR="00CE3D24">
        <w:rPr>
          <w:rFonts w:hint="eastAsia"/>
          <w:sz w:val="28"/>
          <w:szCs w:val="28"/>
        </w:rPr>
        <w:t>事实上，自此次中美贸易争端以来，中国</w:t>
      </w:r>
      <w:r w:rsidR="00731D10">
        <w:rPr>
          <w:rFonts w:hint="eastAsia"/>
          <w:sz w:val="28"/>
          <w:szCs w:val="28"/>
        </w:rPr>
        <w:t>在一些领域</w:t>
      </w:r>
      <w:r w:rsidR="00CE3D24">
        <w:rPr>
          <w:rFonts w:hint="eastAsia"/>
          <w:sz w:val="28"/>
          <w:szCs w:val="28"/>
        </w:rPr>
        <w:t>对外开放的步伐有所加快，也从另一个方面说明了这个问题。</w:t>
      </w:r>
    </w:p>
    <w:p w:rsidR="00CE3D24" w:rsidRDefault="00CE3D24" w:rsidP="0019211D">
      <w:pPr>
        <w:ind w:firstLineChars="200" w:firstLine="560"/>
        <w:rPr>
          <w:sz w:val="28"/>
          <w:szCs w:val="28"/>
        </w:rPr>
      </w:pPr>
      <w:r>
        <w:rPr>
          <w:rFonts w:hint="eastAsia"/>
          <w:sz w:val="28"/>
          <w:szCs w:val="28"/>
        </w:rPr>
        <w:t>这里</w:t>
      </w:r>
      <w:r w:rsidR="000C198E">
        <w:rPr>
          <w:rFonts w:hint="eastAsia"/>
          <w:sz w:val="28"/>
          <w:szCs w:val="28"/>
        </w:rPr>
        <w:t>还</w:t>
      </w:r>
      <w:r>
        <w:rPr>
          <w:rFonts w:hint="eastAsia"/>
          <w:sz w:val="28"/>
          <w:szCs w:val="28"/>
        </w:rPr>
        <w:t>有一个问题需要讨论。</w:t>
      </w:r>
      <w:r w:rsidR="000C198E">
        <w:rPr>
          <w:rFonts w:hint="eastAsia"/>
          <w:sz w:val="28"/>
          <w:szCs w:val="28"/>
        </w:rPr>
        <w:t>中国进一步开放市场，会不会使中国振兴的希望落空？我们认为，总体来看，不会。一是中国人的勤劳、智慧和创造精神，只有在开放竞争</w:t>
      </w:r>
      <w:r w:rsidR="009F13CF">
        <w:rPr>
          <w:rFonts w:hint="eastAsia"/>
          <w:sz w:val="28"/>
          <w:szCs w:val="28"/>
        </w:rPr>
        <w:t>的环境</w:t>
      </w:r>
      <w:r w:rsidR="000C198E">
        <w:rPr>
          <w:rFonts w:hint="eastAsia"/>
          <w:sz w:val="28"/>
          <w:szCs w:val="28"/>
        </w:rPr>
        <w:t>中才能有效的发挥出来，而关起门来，只会窝里斗</w:t>
      </w:r>
      <w:r w:rsidR="00084D0F">
        <w:rPr>
          <w:rFonts w:hint="eastAsia"/>
          <w:sz w:val="28"/>
          <w:szCs w:val="28"/>
        </w:rPr>
        <w:t>；在垄断之下，只会搞邪门歪道。我们前</w:t>
      </w:r>
      <w:r w:rsidR="00084D0F">
        <w:rPr>
          <w:rFonts w:hint="eastAsia"/>
          <w:sz w:val="28"/>
          <w:szCs w:val="28"/>
        </w:rPr>
        <w:t>30</w:t>
      </w:r>
      <w:r w:rsidR="00084D0F">
        <w:rPr>
          <w:rFonts w:hint="eastAsia"/>
          <w:sz w:val="28"/>
          <w:szCs w:val="28"/>
        </w:rPr>
        <w:t>年的发展得益于开放，日本当年的开放也没有垮掉。二是不打贸易战，才有一个和平发展的国际环境，我们才能集中力量搞建设，谋发展。三是在高新技术领域的真正突破和提升</w:t>
      </w:r>
      <w:r w:rsidR="000600DC">
        <w:rPr>
          <w:rFonts w:hint="eastAsia"/>
          <w:sz w:val="28"/>
          <w:szCs w:val="28"/>
        </w:rPr>
        <w:t>仅靠国家的支持是不够的，还</w:t>
      </w:r>
      <w:r w:rsidR="000600DC">
        <w:rPr>
          <w:rFonts w:hint="eastAsia"/>
          <w:sz w:val="28"/>
          <w:szCs w:val="28"/>
        </w:rPr>
        <w:lastRenderedPageBreak/>
        <w:t>需要有一个开放竞争的市场环境。我们缺少的不是国家支持，而是市场环境</w:t>
      </w:r>
      <w:r w:rsidR="00752BDB">
        <w:rPr>
          <w:rFonts w:hint="eastAsia"/>
          <w:sz w:val="28"/>
          <w:szCs w:val="28"/>
        </w:rPr>
        <w:t>和竞争机制，国家花了那么多钱，真正用到刀刃上的不多，寻租的、贪污的不少，浪费也很大</w:t>
      </w:r>
      <w:r w:rsidR="000600DC">
        <w:rPr>
          <w:rFonts w:hint="eastAsia"/>
          <w:sz w:val="28"/>
          <w:szCs w:val="28"/>
        </w:rPr>
        <w:t>。四是取决于我们在重大问题的正确决策和</w:t>
      </w:r>
      <w:r w:rsidR="00752BDB">
        <w:rPr>
          <w:rFonts w:hint="eastAsia"/>
          <w:sz w:val="28"/>
          <w:szCs w:val="28"/>
        </w:rPr>
        <w:t>有效实施</w:t>
      </w:r>
      <w:r w:rsidR="000600DC">
        <w:rPr>
          <w:rFonts w:hint="eastAsia"/>
          <w:sz w:val="28"/>
          <w:szCs w:val="28"/>
        </w:rPr>
        <w:t>，如果决策和应对不当，那么错失机会是有可能的。</w:t>
      </w:r>
    </w:p>
    <w:p w:rsidR="00752BDB" w:rsidRDefault="00752BDB" w:rsidP="0019211D">
      <w:pPr>
        <w:ind w:firstLineChars="200" w:firstLine="560"/>
        <w:rPr>
          <w:sz w:val="28"/>
          <w:szCs w:val="28"/>
        </w:rPr>
      </w:pPr>
      <w:r>
        <w:rPr>
          <w:rFonts w:hint="eastAsia"/>
          <w:sz w:val="28"/>
          <w:szCs w:val="28"/>
        </w:rPr>
        <w:t>我们把中兴公司的案例单独列示出来</w:t>
      </w:r>
      <w:r w:rsidR="006F0314">
        <w:rPr>
          <w:rFonts w:hint="eastAsia"/>
          <w:sz w:val="28"/>
          <w:szCs w:val="28"/>
        </w:rPr>
        <w:t>讨论是有意义的。</w:t>
      </w:r>
      <w:r w:rsidR="00746857">
        <w:rPr>
          <w:rFonts w:hint="eastAsia"/>
          <w:sz w:val="28"/>
          <w:szCs w:val="28"/>
        </w:rPr>
        <w:t>一是</w:t>
      </w:r>
      <w:r w:rsidR="006F0314">
        <w:rPr>
          <w:rFonts w:hint="eastAsia"/>
          <w:sz w:val="28"/>
          <w:szCs w:val="28"/>
        </w:rPr>
        <w:t>美国对中兴做出禁售七年的决定，是由于中兴违约受罚后不履行自己的承诺，反而作虚假陈述</w:t>
      </w:r>
      <w:r w:rsidR="00100AD0">
        <w:rPr>
          <w:rFonts w:hint="eastAsia"/>
          <w:sz w:val="28"/>
          <w:szCs w:val="28"/>
        </w:rPr>
        <w:t>，而作虚假陈述的背后原因</w:t>
      </w:r>
      <w:r w:rsidR="009F13CF">
        <w:rPr>
          <w:rFonts w:hint="eastAsia"/>
          <w:sz w:val="28"/>
          <w:szCs w:val="28"/>
        </w:rPr>
        <w:t>竟是该公司一些有背景的在美人员没有按照承诺免职，</w:t>
      </w:r>
      <w:r w:rsidR="00045888">
        <w:rPr>
          <w:rFonts w:hint="eastAsia"/>
          <w:sz w:val="28"/>
          <w:szCs w:val="28"/>
        </w:rPr>
        <w:t>这真是</w:t>
      </w:r>
      <w:r w:rsidR="00100AD0">
        <w:rPr>
          <w:rFonts w:hint="eastAsia"/>
          <w:sz w:val="28"/>
          <w:szCs w:val="28"/>
        </w:rPr>
        <w:t>令人啼笑皆非</w:t>
      </w:r>
      <w:r w:rsidR="00CA5490">
        <w:rPr>
          <w:rFonts w:hint="eastAsia"/>
          <w:sz w:val="28"/>
          <w:szCs w:val="28"/>
        </w:rPr>
        <w:t>，但却是中国官场文化</w:t>
      </w:r>
      <w:r w:rsidR="00045888">
        <w:rPr>
          <w:rFonts w:hint="eastAsia"/>
          <w:sz w:val="28"/>
          <w:szCs w:val="28"/>
        </w:rPr>
        <w:t>的</w:t>
      </w:r>
      <w:r w:rsidR="00CA5490">
        <w:rPr>
          <w:rFonts w:hint="eastAsia"/>
          <w:sz w:val="28"/>
          <w:szCs w:val="28"/>
        </w:rPr>
        <w:t>真实写照</w:t>
      </w:r>
      <w:r w:rsidR="006F0314">
        <w:rPr>
          <w:rFonts w:hint="eastAsia"/>
          <w:sz w:val="28"/>
          <w:szCs w:val="28"/>
        </w:rPr>
        <w:t>。对此，我们没有对中兴的行为有任何批评和谴责，反而为其鸣不平，实际上支持和纵容了背信弃义的行为。</w:t>
      </w:r>
      <w:r w:rsidR="00746857">
        <w:rPr>
          <w:rFonts w:hint="eastAsia"/>
          <w:sz w:val="28"/>
          <w:szCs w:val="28"/>
        </w:rPr>
        <w:t>二是中兴董事会和管理层被迫离职和更换，没有检讨和自责，没有向国人道</w:t>
      </w:r>
      <w:r w:rsidR="00CA5490">
        <w:rPr>
          <w:rFonts w:hint="eastAsia"/>
          <w:sz w:val="28"/>
          <w:szCs w:val="28"/>
        </w:rPr>
        <w:t>歉和向利益相关者谢罪，而是以英雄凯旋的方式谢幕。</w:t>
      </w:r>
      <w:r w:rsidR="00746857">
        <w:rPr>
          <w:rFonts w:hint="eastAsia"/>
          <w:sz w:val="28"/>
          <w:szCs w:val="28"/>
        </w:rPr>
        <w:t>既然如此，他们还会受到重用，其结果可想而知。三是中兴去年因违约被罚</w:t>
      </w:r>
      <w:r w:rsidR="00746857">
        <w:rPr>
          <w:rFonts w:hint="eastAsia"/>
          <w:sz w:val="28"/>
          <w:szCs w:val="28"/>
        </w:rPr>
        <w:t>9</w:t>
      </w:r>
      <w:r w:rsidR="00746857">
        <w:rPr>
          <w:rFonts w:hint="eastAsia"/>
          <w:sz w:val="28"/>
          <w:szCs w:val="28"/>
        </w:rPr>
        <w:t>亿美元，</w:t>
      </w:r>
      <w:r w:rsidR="00100AD0">
        <w:rPr>
          <w:rFonts w:hint="eastAsia"/>
          <w:sz w:val="28"/>
          <w:szCs w:val="28"/>
        </w:rPr>
        <w:t>已从利润中扣除，今年因做虚假陈述</w:t>
      </w:r>
      <w:r w:rsidR="00CA5490">
        <w:rPr>
          <w:rFonts w:hint="eastAsia"/>
          <w:sz w:val="28"/>
          <w:szCs w:val="28"/>
        </w:rPr>
        <w:t>再次</w:t>
      </w:r>
      <w:r w:rsidR="00100AD0">
        <w:rPr>
          <w:rFonts w:hint="eastAsia"/>
          <w:sz w:val="28"/>
          <w:szCs w:val="28"/>
        </w:rPr>
        <w:t>遭罚</w:t>
      </w:r>
      <w:r w:rsidR="00100AD0">
        <w:rPr>
          <w:rFonts w:hint="eastAsia"/>
          <w:sz w:val="28"/>
          <w:szCs w:val="28"/>
        </w:rPr>
        <w:t>10</w:t>
      </w:r>
      <w:r w:rsidR="00100AD0">
        <w:rPr>
          <w:rFonts w:hint="eastAsia"/>
          <w:sz w:val="28"/>
          <w:szCs w:val="28"/>
        </w:rPr>
        <w:t>亿美元，相当于去年的全部利润</w:t>
      </w:r>
      <w:r w:rsidR="00300DC2">
        <w:rPr>
          <w:rFonts w:hint="eastAsia"/>
          <w:sz w:val="28"/>
          <w:szCs w:val="28"/>
        </w:rPr>
        <w:t>。如果是私人公司，一方面老板不会这样做，另一方面发生这样的情况，老板只能上吊，公司只能破产，但在</w:t>
      </w:r>
      <w:r w:rsidR="00100AD0">
        <w:rPr>
          <w:rFonts w:hint="eastAsia"/>
          <w:sz w:val="28"/>
          <w:szCs w:val="28"/>
        </w:rPr>
        <w:t>国家</w:t>
      </w:r>
      <w:r w:rsidR="00300DC2">
        <w:rPr>
          <w:rFonts w:hint="eastAsia"/>
          <w:sz w:val="28"/>
          <w:szCs w:val="28"/>
        </w:rPr>
        <w:t>的</w:t>
      </w:r>
      <w:r w:rsidR="00100AD0">
        <w:rPr>
          <w:rFonts w:hint="eastAsia"/>
          <w:sz w:val="28"/>
          <w:szCs w:val="28"/>
        </w:rPr>
        <w:t>支持</w:t>
      </w:r>
      <w:r w:rsidR="00300DC2">
        <w:rPr>
          <w:rFonts w:hint="eastAsia"/>
          <w:sz w:val="28"/>
          <w:szCs w:val="28"/>
        </w:rPr>
        <w:t>下</w:t>
      </w:r>
      <w:r w:rsidR="00100AD0">
        <w:rPr>
          <w:rFonts w:hint="eastAsia"/>
          <w:sz w:val="28"/>
          <w:szCs w:val="28"/>
        </w:rPr>
        <w:t>，</w:t>
      </w:r>
      <w:r w:rsidR="00300DC2">
        <w:rPr>
          <w:rFonts w:hint="eastAsia"/>
          <w:sz w:val="28"/>
          <w:szCs w:val="28"/>
        </w:rPr>
        <w:t>中兴却能</w:t>
      </w:r>
      <w:r w:rsidR="00100AD0">
        <w:rPr>
          <w:rFonts w:hint="eastAsia"/>
          <w:sz w:val="28"/>
          <w:szCs w:val="28"/>
        </w:rPr>
        <w:t>起死回生？</w:t>
      </w:r>
      <w:r w:rsidR="00CA5490">
        <w:rPr>
          <w:rFonts w:hint="eastAsia"/>
          <w:sz w:val="28"/>
          <w:szCs w:val="28"/>
        </w:rPr>
        <w:t>难怪人家对中国国有企业的行为发生质疑，</w:t>
      </w:r>
      <w:r w:rsidR="00300DC2">
        <w:rPr>
          <w:rFonts w:hint="eastAsia"/>
          <w:sz w:val="28"/>
          <w:szCs w:val="28"/>
        </w:rPr>
        <w:t>美欧日联合</w:t>
      </w:r>
      <w:r w:rsidR="00CA5490">
        <w:rPr>
          <w:rFonts w:hint="eastAsia"/>
          <w:sz w:val="28"/>
          <w:szCs w:val="28"/>
        </w:rPr>
        <w:t>限制中</w:t>
      </w:r>
      <w:r w:rsidR="00300DC2">
        <w:rPr>
          <w:rFonts w:hint="eastAsia"/>
          <w:sz w:val="28"/>
          <w:szCs w:val="28"/>
        </w:rPr>
        <w:t>国企业海外并购，</w:t>
      </w:r>
      <w:r w:rsidR="007376EC">
        <w:rPr>
          <w:rFonts w:hint="eastAsia"/>
          <w:sz w:val="28"/>
          <w:szCs w:val="28"/>
        </w:rPr>
        <w:t>今年</w:t>
      </w:r>
      <w:r w:rsidR="007376EC">
        <w:rPr>
          <w:rFonts w:hint="eastAsia"/>
          <w:sz w:val="28"/>
          <w:szCs w:val="28"/>
        </w:rPr>
        <w:t>1-3</w:t>
      </w:r>
      <w:r w:rsidR="007376EC">
        <w:rPr>
          <w:rFonts w:hint="eastAsia"/>
          <w:sz w:val="28"/>
          <w:szCs w:val="28"/>
        </w:rPr>
        <w:t>月，中国企业海外并购额</w:t>
      </w:r>
      <w:r w:rsidR="007376EC">
        <w:rPr>
          <w:rFonts w:hint="eastAsia"/>
          <w:sz w:val="28"/>
          <w:szCs w:val="28"/>
        </w:rPr>
        <w:t>257</w:t>
      </w:r>
      <w:r w:rsidR="007376EC">
        <w:rPr>
          <w:rFonts w:hint="eastAsia"/>
          <w:sz w:val="28"/>
          <w:szCs w:val="28"/>
        </w:rPr>
        <w:t>亿美元，早年出现峰值的</w:t>
      </w:r>
      <w:r w:rsidR="007376EC">
        <w:rPr>
          <w:rFonts w:hint="eastAsia"/>
          <w:sz w:val="28"/>
          <w:szCs w:val="28"/>
        </w:rPr>
        <w:t>2016</w:t>
      </w:r>
      <w:r w:rsidR="007376EC">
        <w:rPr>
          <w:rFonts w:hint="eastAsia"/>
          <w:sz w:val="28"/>
          <w:szCs w:val="28"/>
        </w:rPr>
        <w:t>年</w:t>
      </w:r>
      <w:r w:rsidR="007376EC">
        <w:rPr>
          <w:rFonts w:hint="eastAsia"/>
          <w:sz w:val="28"/>
          <w:szCs w:val="28"/>
        </w:rPr>
        <w:t>1-3</w:t>
      </w:r>
      <w:r w:rsidR="007376EC">
        <w:rPr>
          <w:rFonts w:hint="eastAsia"/>
          <w:sz w:val="28"/>
          <w:szCs w:val="28"/>
        </w:rPr>
        <w:t>月是</w:t>
      </w:r>
      <w:r w:rsidR="007376EC">
        <w:rPr>
          <w:rFonts w:hint="eastAsia"/>
          <w:sz w:val="28"/>
          <w:szCs w:val="28"/>
        </w:rPr>
        <w:t>854</w:t>
      </w:r>
      <w:r w:rsidR="007376EC">
        <w:rPr>
          <w:rFonts w:hint="eastAsia"/>
          <w:sz w:val="28"/>
          <w:szCs w:val="28"/>
        </w:rPr>
        <w:t>亿美元。四是国人好面子，但中兴事件连里子都不顾，</w:t>
      </w:r>
      <w:r w:rsidR="00D93920">
        <w:rPr>
          <w:rFonts w:hint="eastAsia"/>
          <w:sz w:val="28"/>
          <w:szCs w:val="28"/>
        </w:rPr>
        <w:t>认栽罚款就不说了，</w:t>
      </w:r>
      <w:r w:rsidR="007376EC">
        <w:rPr>
          <w:rFonts w:hint="eastAsia"/>
          <w:sz w:val="28"/>
          <w:szCs w:val="28"/>
        </w:rPr>
        <w:t>美国撤除禁令的条件</w:t>
      </w:r>
      <w:r w:rsidR="00D93920">
        <w:rPr>
          <w:rFonts w:hint="eastAsia"/>
          <w:sz w:val="28"/>
          <w:szCs w:val="28"/>
        </w:rPr>
        <w:t>还有</w:t>
      </w:r>
      <w:r w:rsidR="007376EC">
        <w:rPr>
          <w:rFonts w:hint="eastAsia"/>
          <w:sz w:val="28"/>
          <w:szCs w:val="28"/>
        </w:rPr>
        <w:t>，更换董事会和管理层，派员进驻</w:t>
      </w:r>
      <w:r w:rsidR="00D93920">
        <w:rPr>
          <w:rFonts w:hint="eastAsia"/>
          <w:sz w:val="28"/>
          <w:szCs w:val="28"/>
        </w:rPr>
        <w:t>监督是否完全执行美国法律和规定，确有点欺人太甚，但我们也接受了。当然，中兴</w:t>
      </w:r>
      <w:proofErr w:type="gramStart"/>
      <w:r w:rsidR="00D93920">
        <w:rPr>
          <w:rFonts w:hint="eastAsia"/>
          <w:sz w:val="28"/>
          <w:szCs w:val="28"/>
        </w:rPr>
        <w:lastRenderedPageBreak/>
        <w:t>公司官网表示</w:t>
      </w:r>
      <w:proofErr w:type="gramEnd"/>
      <w:r w:rsidR="00D93920">
        <w:rPr>
          <w:rFonts w:hint="eastAsia"/>
          <w:sz w:val="28"/>
          <w:szCs w:val="28"/>
        </w:rPr>
        <w:t>：“痛定思痛，再创辉煌”</w:t>
      </w:r>
      <w:r w:rsidR="00E433DD">
        <w:rPr>
          <w:rFonts w:hint="eastAsia"/>
          <w:sz w:val="28"/>
          <w:szCs w:val="28"/>
        </w:rPr>
        <w:t>，人们拭目以待。</w:t>
      </w:r>
    </w:p>
    <w:p w:rsidR="00E433DD" w:rsidRDefault="00E433DD" w:rsidP="0019211D">
      <w:pPr>
        <w:ind w:firstLineChars="200" w:firstLine="560"/>
        <w:rPr>
          <w:sz w:val="28"/>
          <w:szCs w:val="28"/>
        </w:rPr>
      </w:pPr>
      <w:r>
        <w:rPr>
          <w:rFonts w:hint="eastAsia"/>
          <w:sz w:val="28"/>
          <w:szCs w:val="28"/>
        </w:rPr>
        <w:t>贸易战既然争的是利，</w:t>
      </w:r>
      <w:r w:rsidR="00541581">
        <w:rPr>
          <w:rFonts w:hint="eastAsia"/>
          <w:sz w:val="28"/>
          <w:szCs w:val="28"/>
        </w:rPr>
        <w:t>那就要仔细的算，</w:t>
      </w:r>
      <w:r w:rsidR="006B27A5">
        <w:rPr>
          <w:rFonts w:hint="eastAsia"/>
          <w:sz w:val="28"/>
          <w:szCs w:val="28"/>
        </w:rPr>
        <w:t>理性的</w:t>
      </w:r>
      <w:r w:rsidR="00541581">
        <w:rPr>
          <w:rFonts w:hint="eastAsia"/>
          <w:sz w:val="28"/>
          <w:szCs w:val="28"/>
        </w:rPr>
        <w:t>争，只有争到手的才算是自己的。比如，自从</w:t>
      </w:r>
      <w:r w:rsidR="00541581">
        <w:rPr>
          <w:rFonts w:hint="eastAsia"/>
          <w:sz w:val="28"/>
          <w:szCs w:val="28"/>
        </w:rPr>
        <w:t>3</w:t>
      </w:r>
      <w:r w:rsidR="00541581">
        <w:rPr>
          <w:rFonts w:hint="eastAsia"/>
          <w:sz w:val="28"/>
          <w:szCs w:val="28"/>
        </w:rPr>
        <w:t>月</w:t>
      </w:r>
      <w:r w:rsidR="00541581">
        <w:rPr>
          <w:rFonts w:hint="eastAsia"/>
          <w:sz w:val="28"/>
          <w:szCs w:val="28"/>
        </w:rPr>
        <w:t>22</w:t>
      </w:r>
      <w:r w:rsidR="00541581">
        <w:rPr>
          <w:rFonts w:hint="eastAsia"/>
          <w:sz w:val="28"/>
          <w:szCs w:val="28"/>
        </w:rPr>
        <w:t>日贸易争端爆发一来，到</w:t>
      </w:r>
      <w:r w:rsidR="00541581">
        <w:rPr>
          <w:rFonts w:hint="eastAsia"/>
          <w:sz w:val="28"/>
          <w:szCs w:val="28"/>
        </w:rPr>
        <w:t>6</w:t>
      </w:r>
      <w:r w:rsidR="00541581">
        <w:rPr>
          <w:rFonts w:hint="eastAsia"/>
          <w:sz w:val="28"/>
          <w:szCs w:val="28"/>
        </w:rPr>
        <w:t>月</w:t>
      </w:r>
      <w:r w:rsidR="00541581">
        <w:rPr>
          <w:rFonts w:hint="eastAsia"/>
          <w:sz w:val="28"/>
          <w:szCs w:val="28"/>
        </w:rPr>
        <w:t>22</w:t>
      </w:r>
      <w:r w:rsidR="00541581">
        <w:rPr>
          <w:rFonts w:hint="eastAsia"/>
          <w:sz w:val="28"/>
          <w:szCs w:val="28"/>
        </w:rPr>
        <w:t>日，深沪股市跌破了</w:t>
      </w:r>
      <w:r w:rsidR="00541581">
        <w:rPr>
          <w:rFonts w:hint="eastAsia"/>
          <w:sz w:val="28"/>
          <w:szCs w:val="28"/>
        </w:rPr>
        <w:t>3000</w:t>
      </w:r>
      <w:r w:rsidR="00541581">
        <w:rPr>
          <w:rFonts w:hint="eastAsia"/>
          <w:sz w:val="28"/>
          <w:szCs w:val="28"/>
        </w:rPr>
        <w:t>点，市值减少了</w:t>
      </w:r>
      <w:r w:rsidR="00541581">
        <w:rPr>
          <w:rFonts w:hint="eastAsia"/>
          <w:sz w:val="28"/>
          <w:szCs w:val="28"/>
        </w:rPr>
        <w:t>70642</w:t>
      </w:r>
      <w:r w:rsidR="00541581">
        <w:rPr>
          <w:rFonts w:hint="eastAsia"/>
          <w:sz w:val="28"/>
          <w:szCs w:val="28"/>
        </w:rPr>
        <w:t>亿元，而同期美国股市市值增加了</w:t>
      </w:r>
      <w:r w:rsidR="00541581">
        <w:rPr>
          <w:rFonts w:hint="eastAsia"/>
          <w:sz w:val="28"/>
          <w:szCs w:val="28"/>
        </w:rPr>
        <w:t>139400</w:t>
      </w:r>
      <w:r w:rsidR="00541581">
        <w:rPr>
          <w:rFonts w:hint="eastAsia"/>
          <w:sz w:val="28"/>
          <w:szCs w:val="28"/>
        </w:rPr>
        <w:t>亿元，一增一减，得失明显。当然，美国股市</w:t>
      </w:r>
      <w:r w:rsidR="006B27A5">
        <w:rPr>
          <w:rFonts w:hint="eastAsia"/>
          <w:sz w:val="28"/>
          <w:szCs w:val="28"/>
        </w:rPr>
        <w:t>处于</w:t>
      </w:r>
      <w:r w:rsidR="00541581">
        <w:rPr>
          <w:rFonts w:hint="eastAsia"/>
          <w:sz w:val="28"/>
          <w:szCs w:val="28"/>
        </w:rPr>
        <w:t>高位，</w:t>
      </w:r>
      <w:r w:rsidR="004F70CB">
        <w:rPr>
          <w:rFonts w:hint="eastAsia"/>
          <w:sz w:val="28"/>
          <w:szCs w:val="28"/>
        </w:rPr>
        <w:t>高处不胜寒，有可能缩水，加之体量比中国大，如果缩水，损失也大。</w:t>
      </w:r>
      <w:r w:rsidR="006B27A5">
        <w:rPr>
          <w:rFonts w:hint="eastAsia"/>
          <w:sz w:val="28"/>
          <w:szCs w:val="28"/>
        </w:rPr>
        <w:t>这种分析有一定道理，但未来究竟如何，取决于多种因素。我们既要争现在，也要争未来。</w:t>
      </w:r>
      <w:r w:rsidR="00CA5490">
        <w:rPr>
          <w:rFonts w:hint="eastAsia"/>
          <w:sz w:val="28"/>
          <w:szCs w:val="28"/>
        </w:rPr>
        <w:t>如果到手的东西不要，何谈未来。</w:t>
      </w:r>
    </w:p>
    <w:p w:rsidR="00E433DD" w:rsidRDefault="00E433DD" w:rsidP="0019211D">
      <w:pPr>
        <w:ind w:firstLineChars="200" w:firstLine="560"/>
        <w:rPr>
          <w:sz w:val="28"/>
          <w:szCs w:val="28"/>
        </w:rPr>
      </w:pPr>
    </w:p>
    <w:p w:rsidR="00752BDB" w:rsidRPr="0042258A" w:rsidRDefault="00E433DD" w:rsidP="0042258A">
      <w:pPr>
        <w:ind w:firstLineChars="200" w:firstLine="562"/>
        <w:jc w:val="center"/>
        <w:rPr>
          <w:b/>
          <w:sz w:val="28"/>
          <w:szCs w:val="28"/>
        </w:rPr>
      </w:pPr>
      <w:r w:rsidRPr="0042258A">
        <w:rPr>
          <w:rFonts w:hint="eastAsia"/>
          <w:b/>
          <w:sz w:val="28"/>
          <w:szCs w:val="28"/>
        </w:rPr>
        <w:t>五，趋势预测</w:t>
      </w:r>
    </w:p>
    <w:p w:rsidR="00E433DD" w:rsidRDefault="00E433DD" w:rsidP="0019211D">
      <w:pPr>
        <w:ind w:firstLineChars="200" w:firstLine="560"/>
        <w:rPr>
          <w:sz w:val="28"/>
          <w:szCs w:val="28"/>
        </w:rPr>
      </w:pPr>
    </w:p>
    <w:p w:rsidR="00E433DD" w:rsidRDefault="00045888" w:rsidP="0019211D">
      <w:pPr>
        <w:ind w:firstLineChars="200" w:firstLine="560"/>
        <w:rPr>
          <w:sz w:val="28"/>
          <w:szCs w:val="28"/>
        </w:rPr>
      </w:pPr>
      <w:r>
        <w:rPr>
          <w:rFonts w:hint="eastAsia"/>
          <w:sz w:val="28"/>
          <w:szCs w:val="28"/>
        </w:rPr>
        <w:t>据中国社会科学院世界经济预测和政策模拟实验室的分析，</w:t>
      </w:r>
      <w:r w:rsidR="000E7344">
        <w:rPr>
          <w:rFonts w:hint="eastAsia"/>
          <w:sz w:val="28"/>
          <w:szCs w:val="28"/>
        </w:rPr>
        <w:t>2018</w:t>
      </w:r>
      <w:r w:rsidR="000E7344">
        <w:rPr>
          <w:rFonts w:hint="eastAsia"/>
          <w:sz w:val="28"/>
          <w:szCs w:val="28"/>
        </w:rPr>
        <w:t>年第</w:t>
      </w:r>
      <w:r w:rsidR="000E7344">
        <w:rPr>
          <w:rFonts w:hint="eastAsia"/>
          <w:sz w:val="28"/>
          <w:szCs w:val="28"/>
        </w:rPr>
        <w:t>2</w:t>
      </w:r>
      <w:r w:rsidR="000E7344">
        <w:rPr>
          <w:rFonts w:hint="eastAsia"/>
          <w:sz w:val="28"/>
          <w:szCs w:val="28"/>
        </w:rPr>
        <w:t>季度，中国外部经济景气程度高位下行，</w:t>
      </w:r>
      <w:r w:rsidR="000E7344">
        <w:rPr>
          <w:rFonts w:hint="eastAsia"/>
          <w:sz w:val="28"/>
          <w:szCs w:val="28"/>
        </w:rPr>
        <w:t>CEEM-PMI55.3</w:t>
      </w:r>
      <w:r w:rsidR="000E7344">
        <w:rPr>
          <w:rFonts w:hint="eastAsia"/>
          <w:sz w:val="28"/>
          <w:szCs w:val="28"/>
        </w:rPr>
        <w:t>，较上季回落</w:t>
      </w:r>
      <w:r w:rsidR="000E7344">
        <w:rPr>
          <w:rFonts w:hint="eastAsia"/>
          <w:sz w:val="28"/>
          <w:szCs w:val="28"/>
        </w:rPr>
        <w:t>1.2</w:t>
      </w:r>
      <w:r w:rsidR="000E7344">
        <w:rPr>
          <w:rFonts w:hint="eastAsia"/>
          <w:sz w:val="28"/>
          <w:szCs w:val="28"/>
        </w:rPr>
        <w:t>个百分点，主要发达经济体和新兴市场经济体均有不同程度回落，全球经济周期进入下半期。美国制造</w:t>
      </w:r>
      <w:r w:rsidR="00CA5490">
        <w:rPr>
          <w:rFonts w:hint="eastAsia"/>
          <w:sz w:val="28"/>
          <w:szCs w:val="28"/>
        </w:rPr>
        <w:t>业</w:t>
      </w:r>
      <w:r w:rsidR="000E7344">
        <w:rPr>
          <w:rFonts w:hint="eastAsia"/>
          <w:sz w:val="28"/>
          <w:szCs w:val="28"/>
        </w:rPr>
        <w:t>PMI</w:t>
      </w:r>
      <w:r w:rsidR="00B31D90">
        <w:rPr>
          <w:rFonts w:hint="eastAsia"/>
          <w:sz w:val="28"/>
          <w:szCs w:val="28"/>
        </w:rPr>
        <w:t>均值</w:t>
      </w:r>
      <w:r w:rsidR="00B31D90">
        <w:rPr>
          <w:rFonts w:hint="eastAsia"/>
          <w:sz w:val="28"/>
          <w:szCs w:val="28"/>
        </w:rPr>
        <w:t>58.7</w:t>
      </w:r>
      <w:r w:rsidR="00B31D90">
        <w:rPr>
          <w:rFonts w:hint="eastAsia"/>
          <w:sz w:val="28"/>
          <w:szCs w:val="28"/>
        </w:rPr>
        <w:t>，非制造业</w:t>
      </w:r>
      <w:r w:rsidR="00B31D90">
        <w:rPr>
          <w:rFonts w:hint="eastAsia"/>
          <w:sz w:val="28"/>
          <w:szCs w:val="28"/>
        </w:rPr>
        <w:t>58.2</w:t>
      </w:r>
      <w:r w:rsidR="00B31D90">
        <w:rPr>
          <w:rFonts w:hint="eastAsia"/>
          <w:sz w:val="28"/>
          <w:szCs w:val="28"/>
        </w:rPr>
        <w:t>，比上季分别回落</w:t>
      </w:r>
      <w:r w:rsidR="00B31D90">
        <w:rPr>
          <w:rFonts w:hint="eastAsia"/>
          <w:sz w:val="28"/>
          <w:szCs w:val="28"/>
        </w:rPr>
        <w:t>1</w:t>
      </w:r>
      <w:r w:rsidR="00B31D90">
        <w:rPr>
          <w:rFonts w:hint="eastAsia"/>
          <w:sz w:val="28"/>
          <w:szCs w:val="28"/>
        </w:rPr>
        <w:t>和</w:t>
      </w:r>
      <w:r w:rsidR="00B31D90">
        <w:rPr>
          <w:rFonts w:hint="eastAsia"/>
          <w:sz w:val="28"/>
          <w:szCs w:val="28"/>
        </w:rPr>
        <w:t>1.2</w:t>
      </w:r>
      <w:r w:rsidR="00B31D90">
        <w:rPr>
          <w:rFonts w:hint="eastAsia"/>
          <w:sz w:val="28"/>
          <w:szCs w:val="28"/>
        </w:rPr>
        <w:t>个百分点，失业率处于</w:t>
      </w:r>
      <w:r w:rsidR="00B31D90">
        <w:rPr>
          <w:rFonts w:hint="eastAsia"/>
          <w:sz w:val="28"/>
          <w:szCs w:val="28"/>
        </w:rPr>
        <w:t>3.8-4.0%</w:t>
      </w:r>
      <w:r w:rsidR="00B31D90">
        <w:rPr>
          <w:rFonts w:hint="eastAsia"/>
          <w:sz w:val="28"/>
          <w:szCs w:val="28"/>
        </w:rPr>
        <w:t>的历史低位，由于就业增加和工资增长，再加上股市和房地产市场价格上涨，居民消费和企业投资均处于高位。</w:t>
      </w:r>
      <w:r w:rsidR="00B31D90">
        <w:rPr>
          <w:rFonts w:hint="eastAsia"/>
          <w:sz w:val="28"/>
          <w:szCs w:val="28"/>
        </w:rPr>
        <w:t>CPI</w:t>
      </w:r>
      <w:r w:rsidR="00B31D90">
        <w:rPr>
          <w:rFonts w:hint="eastAsia"/>
          <w:sz w:val="28"/>
          <w:szCs w:val="28"/>
        </w:rPr>
        <w:t>和核心</w:t>
      </w:r>
      <w:r w:rsidR="00B31D90">
        <w:rPr>
          <w:rFonts w:hint="eastAsia"/>
          <w:sz w:val="28"/>
          <w:szCs w:val="28"/>
        </w:rPr>
        <w:t>CPI</w:t>
      </w:r>
      <w:r w:rsidR="00B31D90">
        <w:rPr>
          <w:rFonts w:hint="eastAsia"/>
          <w:sz w:val="28"/>
          <w:szCs w:val="28"/>
        </w:rPr>
        <w:t>同比上升</w:t>
      </w:r>
      <w:r w:rsidR="00B31D90">
        <w:rPr>
          <w:rFonts w:hint="eastAsia"/>
          <w:sz w:val="28"/>
          <w:szCs w:val="28"/>
        </w:rPr>
        <w:t>2.7%</w:t>
      </w:r>
      <w:r w:rsidR="00B31D90">
        <w:rPr>
          <w:rFonts w:hint="eastAsia"/>
          <w:sz w:val="28"/>
          <w:szCs w:val="28"/>
        </w:rPr>
        <w:t>和</w:t>
      </w:r>
      <w:r w:rsidR="00117474">
        <w:rPr>
          <w:rFonts w:hint="eastAsia"/>
          <w:sz w:val="28"/>
          <w:szCs w:val="28"/>
        </w:rPr>
        <w:t>2.</w:t>
      </w:r>
      <w:r w:rsidR="00B31D90">
        <w:rPr>
          <w:rFonts w:hint="eastAsia"/>
          <w:sz w:val="28"/>
          <w:szCs w:val="28"/>
        </w:rPr>
        <w:t>2%</w:t>
      </w:r>
      <w:r w:rsidR="00B31D90">
        <w:rPr>
          <w:rFonts w:hint="eastAsia"/>
          <w:sz w:val="28"/>
          <w:szCs w:val="28"/>
        </w:rPr>
        <w:t>，</w:t>
      </w:r>
      <w:r w:rsidR="00117474">
        <w:rPr>
          <w:rFonts w:hint="eastAsia"/>
          <w:sz w:val="28"/>
          <w:szCs w:val="28"/>
        </w:rPr>
        <w:t>达到美联储设定的通货膨胀控制目标，因而年内已经</w:t>
      </w:r>
      <w:r w:rsidR="00117474">
        <w:rPr>
          <w:rFonts w:hint="eastAsia"/>
          <w:sz w:val="28"/>
          <w:szCs w:val="28"/>
        </w:rPr>
        <w:t>2</w:t>
      </w:r>
      <w:r w:rsidR="00117474">
        <w:rPr>
          <w:rFonts w:hint="eastAsia"/>
          <w:sz w:val="28"/>
          <w:szCs w:val="28"/>
        </w:rPr>
        <w:t>次加息，还有可能再加息</w:t>
      </w:r>
      <w:r w:rsidR="00117474">
        <w:rPr>
          <w:rFonts w:hint="eastAsia"/>
          <w:sz w:val="28"/>
          <w:szCs w:val="28"/>
        </w:rPr>
        <w:t>2</w:t>
      </w:r>
      <w:r w:rsidR="00117474">
        <w:rPr>
          <w:rFonts w:hint="eastAsia"/>
          <w:sz w:val="28"/>
          <w:szCs w:val="28"/>
        </w:rPr>
        <w:t>次。欧元区经济景气再度回落，工业生产持续走弱，</w:t>
      </w:r>
      <w:r w:rsidR="00117474">
        <w:rPr>
          <w:rFonts w:hint="eastAsia"/>
          <w:sz w:val="28"/>
          <w:szCs w:val="28"/>
        </w:rPr>
        <w:t>4</w:t>
      </w:r>
      <w:r w:rsidR="00117474">
        <w:rPr>
          <w:rFonts w:hint="eastAsia"/>
          <w:sz w:val="28"/>
          <w:szCs w:val="28"/>
        </w:rPr>
        <w:t>月份工业生产</w:t>
      </w:r>
      <w:proofErr w:type="gramStart"/>
      <w:r w:rsidR="00117474">
        <w:rPr>
          <w:rFonts w:hint="eastAsia"/>
          <w:sz w:val="28"/>
          <w:szCs w:val="28"/>
        </w:rPr>
        <w:t>指数环</w:t>
      </w:r>
      <w:proofErr w:type="gramEnd"/>
      <w:r w:rsidR="00117474">
        <w:rPr>
          <w:rFonts w:hint="eastAsia"/>
          <w:sz w:val="28"/>
          <w:szCs w:val="28"/>
        </w:rPr>
        <w:t>比下降</w:t>
      </w:r>
      <w:r w:rsidR="00117474">
        <w:rPr>
          <w:rFonts w:hint="eastAsia"/>
          <w:sz w:val="28"/>
          <w:szCs w:val="28"/>
        </w:rPr>
        <w:t>0.9%</w:t>
      </w:r>
      <w:r w:rsidR="00117474">
        <w:rPr>
          <w:rFonts w:hint="eastAsia"/>
          <w:sz w:val="28"/>
          <w:szCs w:val="28"/>
        </w:rPr>
        <w:t>，能源产出下降</w:t>
      </w:r>
      <w:r w:rsidR="00117474">
        <w:rPr>
          <w:rFonts w:hint="eastAsia"/>
          <w:sz w:val="28"/>
          <w:szCs w:val="28"/>
        </w:rPr>
        <w:t>5%</w:t>
      </w:r>
      <w:r w:rsidR="00117474">
        <w:rPr>
          <w:rFonts w:hint="eastAsia"/>
          <w:sz w:val="28"/>
          <w:szCs w:val="28"/>
        </w:rPr>
        <w:t>，</w:t>
      </w:r>
      <w:r w:rsidR="00117474">
        <w:rPr>
          <w:rFonts w:hint="eastAsia"/>
          <w:sz w:val="28"/>
          <w:szCs w:val="28"/>
        </w:rPr>
        <w:lastRenderedPageBreak/>
        <w:t>消费者信心从</w:t>
      </w:r>
      <w:r w:rsidR="00117474">
        <w:rPr>
          <w:rFonts w:hint="eastAsia"/>
          <w:sz w:val="28"/>
          <w:szCs w:val="28"/>
        </w:rPr>
        <w:t>4</w:t>
      </w:r>
      <w:r w:rsidR="00117474">
        <w:rPr>
          <w:rFonts w:hint="eastAsia"/>
          <w:sz w:val="28"/>
          <w:szCs w:val="28"/>
        </w:rPr>
        <w:t>月份的</w:t>
      </w:r>
      <w:r w:rsidR="00117474">
        <w:rPr>
          <w:rFonts w:hint="eastAsia"/>
          <w:sz w:val="28"/>
          <w:szCs w:val="28"/>
        </w:rPr>
        <w:t>0.3</w:t>
      </w:r>
      <w:r w:rsidR="00117474">
        <w:rPr>
          <w:rFonts w:hint="eastAsia"/>
          <w:sz w:val="28"/>
          <w:szCs w:val="28"/>
        </w:rPr>
        <w:t>降至</w:t>
      </w:r>
      <w:r w:rsidR="00117474">
        <w:rPr>
          <w:rFonts w:hint="eastAsia"/>
          <w:sz w:val="28"/>
          <w:szCs w:val="28"/>
        </w:rPr>
        <w:t>6</w:t>
      </w:r>
      <w:r w:rsidR="00117474">
        <w:rPr>
          <w:rFonts w:hint="eastAsia"/>
          <w:sz w:val="28"/>
          <w:szCs w:val="28"/>
        </w:rPr>
        <w:t>月份的</w:t>
      </w:r>
      <w:r w:rsidR="00117474">
        <w:rPr>
          <w:rFonts w:hint="eastAsia"/>
          <w:sz w:val="28"/>
          <w:szCs w:val="28"/>
        </w:rPr>
        <w:t>-0.5</w:t>
      </w:r>
      <w:r w:rsidR="00117474">
        <w:rPr>
          <w:rFonts w:hint="eastAsia"/>
          <w:sz w:val="28"/>
          <w:szCs w:val="28"/>
        </w:rPr>
        <w:t>，投资者信心指数为</w:t>
      </w:r>
      <w:r w:rsidR="00117474">
        <w:rPr>
          <w:rFonts w:hint="eastAsia"/>
          <w:sz w:val="28"/>
          <w:szCs w:val="28"/>
        </w:rPr>
        <w:t>9.3</w:t>
      </w:r>
      <w:r w:rsidR="00117474">
        <w:rPr>
          <w:rFonts w:hint="eastAsia"/>
          <w:sz w:val="28"/>
          <w:szCs w:val="28"/>
        </w:rPr>
        <w:t>，大大低于预期</w:t>
      </w:r>
      <w:r w:rsidR="00C46287">
        <w:rPr>
          <w:rFonts w:hint="eastAsia"/>
          <w:sz w:val="28"/>
          <w:szCs w:val="28"/>
        </w:rPr>
        <w:t>18.5</w:t>
      </w:r>
      <w:r w:rsidR="00C46287">
        <w:rPr>
          <w:rFonts w:hint="eastAsia"/>
          <w:sz w:val="28"/>
          <w:szCs w:val="28"/>
        </w:rPr>
        <w:t>和前值</w:t>
      </w:r>
      <w:r w:rsidR="00C46287">
        <w:rPr>
          <w:rFonts w:hint="eastAsia"/>
          <w:sz w:val="28"/>
          <w:szCs w:val="28"/>
        </w:rPr>
        <w:t>19.2</w:t>
      </w:r>
      <w:r w:rsidR="00C46287">
        <w:rPr>
          <w:rFonts w:hint="eastAsia"/>
          <w:sz w:val="28"/>
          <w:szCs w:val="28"/>
        </w:rPr>
        <w:t>。欧洲央行继续保持宽松货币政策，且将今年的增长预测从</w:t>
      </w:r>
      <w:r w:rsidR="00C46287">
        <w:rPr>
          <w:rFonts w:hint="eastAsia"/>
          <w:sz w:val="28"/>
          <w:szCs w:val="28"/>
        </w:rPr>
        <w:t>2.4%</w:t>
      </w:r>
      <w:r w:rsidR="00C46287">
        <w:rPr>
          <w:rFonts w:hint="eastAsia"/>
          <w:sz w:val="28"/>
          <w:szCs w:val="28"/>
        </w:rPr>
        <w:t>调降为</w:t>
      </w:r>
      <w:r w:rsidR="00C46287">
        <w:rPr>
          <w:rFonts w:hint="eastAsia"/>
          <w:sz w:val="28"/>
          <w:szCs w:val="28"/>
        </w:rPr>
        <w:t>2.1%</w:t>
      </w:r>
      <w:r w:rsidR="00C46287">
        <w:rPr>
          <w:rFonts w:hint="eastAsia"/>
          <w:sz w:val="28"/>
          <w:szCs w:val="28"/>
        </w:rPr>
        <w:t>。日本经济变化不大，基本稳定。俄罗斯经济受高油价和世界杯的影响，呈复苏态势</w:t>
      </w:r>
      <w:r w:rsidR="00061C5A">
        <w:rPr>
          <w:rFonts w:hint="eastAsia"/>
          <w:sz w:val="28"/>
          <w:szCs w:val="28"/>
        </w:rPr>
        <w:t>；</w:t>
      </w:r>
      <w:r w:rsidR="00C46287">
        <w:rPr>
          <w:rFonts w:hint="eastAsia"/>
          <w:sz w:val="28"/>
          <w:szCs w:val="28"/>
        </w:rPr>
        <w:t>巴西因卡车司机罢工和政治局势不确定，经济复苏受阻；</w:t>
      </w:r>
      <w:r w:rsidR="00061C5A">
        <w:rPr>
          <w:rFonts w:hint="eastAsia"/>
          <w:sz w:val="28"/>
          <w:szCs w:val="28"/>
        </w:rPr>
        <w:t>印度因“废钞令”影响消退和税改的刺激，经济表现较好；南非经济依然低迷。美元加息使新兴经济</w:t>
      </w:r>
      <w:r w:rsidR="00CA5490">
        <w:rPr>
          <w:rFonts w:hint="eastAsia"/>
          <w:sz w:val="28"/>
          <w:szCs w:val="28"/>
        </w:rPr>
        <w:t>体</w:t>
      </w:r>
      <w:r w:rsidR="00061C5A">
        <w:rPr>
          <w:rFonts w:hint="eastAsia"/>
          <w:sz w:val="28"/>
          <w:szCs w:val="28"/>
        </w:rPr>
        <w:t>货币面临贬值压力，部分国家的货币危</w:t>
      </w:r>
      <w:r w:rsidR="00CA5490">
        <w:rPr>
          <w:rFonts w:hint="eastAsia"/>
          <w:sz w:val="28"/>
          <w:szCs w:val="28"/>
        </w:rPr>
        <w:t>机</w:t>
      </w:r>
      <w:r w:rsidR="00061C5A">
        <w:rPr>
          <w:rFonts w:hint="eastAsia"/>
          <w:sz w:val="28"/>
          <w:szCs w:val="28"/>
        </w:rPr>
        <w:t>和债务风险加大</w:t>
      </w:r>
      <w:r w:rsidR="00CA5490">
        <w:rPr>
          <w:rFonts w:hint="eastAsia"/>
          <w:sz w:val="28"/>
          <w:szCs w:val="28"/>
        </w:rPr>
        <w:t>；</w:t>
      </w:r>
      <w:r w:rsidR="00061C5A">
        <w:rPr>
          <w:rFonts w:hint="eastAsia"/>
          <w:sz w:val="28"/>
          <w:szCs w:val="28"/>
        </w:rPr>
        <w:t>贸易争端也抑制了其出口和经济增长。</w:t>
      </w:r>
    </w:p>
    <w:p w:rsidR="00061C5A" w:rsidRDefault="00061C5A" w:rsidP="0019211D">
      <w:pPr>
        <w:ind w:firstLineChars="200" w:firstLine="560"/>
        <w:rPr>
          <w:sz w:val="28"/>
          <w:szCs w:val="28"/>
        </w:rPr>
      </w:pPr>
      <w:r>
        <w:rPr>
          <w:rFonts w:hint="eastAsia"/>
          <w:sz w:val="28"/>
          <w:szCs w:val="28"/>
        </w:rPr>
        <w:t>我国国内的情况变化不大，有关政策还会继续，但外部环境随着贸易战</w:t>
      </w:r>
      <w:r w:rsidR="00E65A19">
        <w:rPr>
          <w:rFonts w:hint="eastAsia"/>
          <w:sz w:val="28"/>
          <w:szCs w:val="28"/>
        </w:rPr>
        <w:t>的</w:t>
      </w:r>
      <w:r>
        <w:rPr>
          <w:rFonts w:hint="eastAsia"/>
          <w:sz w:val="28"/>
          <w:szCs w:val="28"/>
        </w:rPr>
        <w:t>发展而明显不利，</w:t>
      </w:r>
      <w:r w:rsidR="003F17F0">
        <w:rPr>
          <w:rFonts w:hint="eastAsia"/>
          <w:sz w:val="28"/>
          <w:szCs w:val="28"/>
        </w:rPr>
        <w:t>出口增长还会进一步下降，经济增长也会明显回落。据此，我们对第</w:t>
      </w:r>
      <w:r w:rsidR="003F17F0">
        <w:rPr>
          <w:rFonts w:hint="eastAsia"/>
          <w:sz w:val="28"/>
          <w:szCs w:val="28"/>
        </w:rPr>
        <w:t>3</w:t>
      </w:r>
      <w:r w:rsidR="003F17F0">
        <w:rPr>
          <w:rFonts w:hint="eastAsia"/>
          <w:sz w:val="28"/>
          <w:szCs w:val="28"/>
        </w:rPr>
        <w:t>季度和全年的经济走势预测如下</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440"/>
        <w:gridCol w:w="1620"/>
        <w:gridCol w:w="1620"/>
        <w:gridCol w:w="1440"/>
      </w:tblGrid>
      <w:tr w:rsidR="003F17F0" w:rsidRPr="00332FD2" w:rsidTr="00072D77">
        <w:trPr>
          <w:cantSplit/>
          <w:trHeight w:val="463"/>
        </w:trPr>
        <w:tc>
          <w:tcPr>
            <w:tcW w:w="1980" w:type="dxa"/>
            <w:vMerge w:val="restart"/>
            <w:tcBorders>
              <w:tl2br w:val="single" w:sz="4" w:space="0" w:color="auto"/>
            </w:tcBorders>
          </w:tcPr>
          <w:p w:rsidR="003F17F0" w:rsidRPr="00332FD2" w:rsidRDefault="003F17F0" w:rsidP="00072D77">
            <w:pPr>
              <w:spacing w:line="360" w:lineRule="auto"/>
              <w:rPr>
                <w:rFonts w:ascii="宋体" w:hAnsi="宋体"/>
                <w:sz w:val="28"/>
                <w:szCs w:val="28"/>
              </w:rPr>
            </w:pPr>
            <w:r w:rsidRPr="00332FD2">
              <w:rPr>
                <w:rFonts w:ascii="宋体" w:hAnsi="宋体" w:hint="eastAsia"/>
                <w:sz w:val="28"/>
                <w:szCs w:val="28"/>
              </w:rPr>
              <w:t xml:space="preserve">      季度</w:t>
            </w:r>
          </w:p>
          <w:p w:rsidR="003F17F0" w:rsidRPr="00332FD2" w:rsidRDefault="003F17F0" w:rsidP="00072D77">
            <w:pPr>
              <w:spacing w:line="360" w:lineRule="auto"/>
              <w:rPr>
                <w:rFonts w:ascii="宋体" w:hAnsi="宋体"/>
                <w:sz w:val="28"/>
                <w:szCs w:val="28"/>
              </w:rPr>
            </w:pPr>
          </w:p>
          <w:p w:rsidR="003F17F0" w:rsidRPr="00332FD2" w:rsidRDefault="003F17F0" w:rsidP="00072D77">
            <w:pPr>
              <w:spacing w:line="360" w:lineRule="auto"/>
              <w:rPr>
                <w:rFonts w:ascii="宋体" w:hAnsi="宋体"/>
                <w:sz w:val="28"/>
                <w:szCs w:val="28"/>
              </w:rPr>
            </w:pPr>
            <w:r w:rsidRPr="00332FD2">
              <w:rPr>
                <w:rFonts w:ascii="宋体" w:hAnsi="宋体" w:hint="eastAsia"/>
                <w:sz w:val="28"/>
                <w:szCs w:val="28"/>
              </w:rPr>
              <w:t>经济指标</w:t>
            </w:r>
          </w:p>
        </w:tc>
        <w:tc>
          <w:tcPr>
            <w:tcW w:w="1440" w:type="dxa"/>
          </w:tcPr>
          <w:p w:rsidR="003F17F0" w:rsidRPr="00332FD2" w:rsidRDefault="003F17F0" w:rsidP="00072D77">
            <w:pPr>
              <w:spacing w:line="360" w:lineRule="auto"/>
              <w:jc w:val="center"/>
              <w:rPr>
                <w:rFonts w:ascii="宋体" w:hAnsi="宋体"/>
                <w:sz w:val="28"/>
                <w:szCs w:val="28"/>
              </w:rPr>
            </w:pPr>
            <w:r w:rsidRPr="00332FD2">
              <w:rPr>
                <w:rFonts w:ascii="宋体" w:hAnsi="宋体" w:hint="eastAsia"/>
                <w:sz w:val="28"/>
                <w:szCs w:val="28"/>
              </w:rPr>
              <w:t>2017年全年（实际）</w:t>
            </w:r>
          </w:p>
        </w:tc>
        <w:tc>
          <w:tcPr>
            <w:tcW w:w="1620" w:type="dxa"/>
          </w:tcPr>
          <w:p w:rsidR="003F17F0" w:rsidRPr="00332FD2" w:rsidRDefault="003F17F0" w:rsidP="003F17F0">
            <w:pPr>
              <w:spacing w:line="360" w:lineRule="auto"/>
              <w:jc w:val="center"/>
              <w:rPr>
                <w:rFonts w:ascii="宋体" w:hAnsi="宋体"/>
                <w:sz w:val="28"/>
                <w:szCs w:val="28"/>
              </w:rPr>
            </w:pPr>
            <w:r w:rsidRPr="00332FD2">
              <w:rPr>
                <w:rFonts w:ascii="宋体" w:hAnsi="宋体" w:hint="eastAsia"/>
                <w:sz w:val="28"/>
                <w:szCs w:val="28"/>
              </w:rPr>
              <w:t>2018年</w:t>
            </w:r>
            <w:r>
              <w:rPr>
                <w:rFonts w:ascii="宋体" w:hAnsi="宋体" w:hint="eastAsia"/>
                <w:sz w:val="28"/>
                <w:szCs w:val="28"/>
              </w:rPr>
              <w:t>上半年</w:t>
            </w:r>
            <w:r w:rsidRPr="00332FD2">
              <w:rPr>
                <w:rFonts w:ascii="宋体" w:hAnsi="宋体" w:hint="eastAsia"/>
                <w:sz w:val="28"/>
                <w:szCs w:val="28"/>
              </w:rPr>
              <w:t>（实际）</w:t>
            </w:r>
          </w:p>
        </w:tc>
        <w:tc>
          <w:tcPr>
            <w:tcW w:w="1620" w:type="dxa"/>
          </w:tcPr>
          <w:p w:rsidR="003F17F0" w:rsidRPr="00332FD2" w:rsidRDefault="003F17F0" w:rsidP="003F17F0">
            <w:pPr>
              <w:spacing w:line="360" w:lineRule="auto"/>
              <w:jc w:val="center"/>
              <w:rPr>
                <w:rFonts w:ascii="宋体" w:hAnsi="宋体"/>
                <w:sz w:val="28"/>
                <w:szCs w:val="28"/>
              </w:rPr>
            </w:pPr>
            <w:r w:rsidRPr="00332FD2">
              <w:rPr>
                <w:rFonts w:ascii="宋体" w:hAnsi="宋体" w:hint="eastAsia"/>
                <w:sz w:val="28"/>
                <w:szCs w:val="28"/>
              </w:rPr>
              <w:t>2018年</w:t>
            </w:r>
            <w:r>
              <w:rPr>
                <w:rFonts w:ascii="宋体" w:hAnsi="宋体" w:hint="eastAsia"/>
                <w:sz w:val="28"/>
                <w:szCs w:val="28"/>
              </w:rPr>
              <w:t>3</w:t>
            </w:r>
            <w:r w:rsidRPr="00332FD2">
              <w:rPr>
                <w:rFonts w:ascii="宋体" w:hAnsi="宋体" w:hint="eastAsia"/>
                <w:sz w:val="28"/>
                <w:szCs w:val="28"/>
              </w:rPr>
              <w:t>季度（预测）</w:t>
            </w:r>
          </w:p>
        </w:tc>
        <w:tc>
          <w:tcPr>
            <w:tcW w:w="1440" w:type="dxa"/>
          </w:tcPr>
          <w:p w:rsidR="003F17F0" w:rsidRPr="00332FD2" w:rsidRDefault="003F17F0" w:rsidP="00072D77">
            <w:pPr>
              <w:spacing w:line="360" w:lineRule="auto"/>
              <w:jc w:val="center"/>
              <w:rPr>
                <w:rFonts w:ascii="宋体" w:hAnsi="宋体"/>
                <w:sz w:val="28"/>
                <w:szCs w:val="28"/>
              </w:rPr>
            </w:pPr>
            <w:r w:rsidRPr="00332FD2">
              <w:rPr>
                <w:rFonts w:ascii="宋体" w:hAnsi="宋体" w:hint="eastAsia"/>
                <w:sz w:val="28"/>
                <w:szCs w:val="28"/>
              </w:rPr>
              <w:t>2018年全年（预测）</w:t>
            </w:r>
          </w:p>
        </w:tc>
      </w:tr>
      <w:tr w:rsidR="003F17F0" w:rsidRPr="00332FD2" w:rsidTr="00072D77">
        <w:trPr>
          <w:cantSplit/>
          <w:trHeight w:val="285"/>
        </w:trPr>
        <w:tc>
          <w:tcPr>
            <w:tcW w:w="1980" w:type="dxa"/>
            <w:vMerge/>
          </w:tcPr>
          <w:p w:rsidR="003F17F0" w:rsidRPr="00332FD2" w:rsidRDefault="003F17F0" w:rsidP="00072D77">
            <w:pPr>
              <w:spacing w:line="360" w:lineRule="auto"/>
              <w:rPr>
                <w:rFonts w:ascii="宋体" w:hAnsi="宋体"/>
                <w:sz w:val="28"/>
                <w:szCs w:val="28"/>
              </w:rPr>
            </w:pPr>
          </w:p>
        </w:tc>
        <w:tc>
          <w:tcPr>
            <w:tcW w:w="1440" w:type="dxa"/>
          </w:tcPr>
          <w:p w:rsidR="003F17F0" w:rsidRPr="00332FD2" w:rsidRDefault="003F17F0" w:rsidP="00072D77">
            <w:pPr>
              <w:spacing w:line="360" w:lineRule="auto"/>
              <w:jc w:val="center"/>
              <w:rPr>
                <w:rFonts w:ascii="宋体" w:hAnsi="宋体"/>
                <w:sz w:val="28"/>
                <w:szCs w:val="28"/>
              </w:rPr>
            </w:pPr>
            <w:r w:rsidRPr="00332FD2">
              <w:rPr>
                <w:rFonts w:ascii="宋体" w:hAnsi="宋体" w:hint="eastAsia"/>
                <w:sz w:val="28"/>
                <w:szCs w:val="28"/>
              </w:rPr>
              <w:t>增长（%）</w:t>
            </w:r>
          </w:p>
        </w:tc>
        <w:tc>
          <w:tcPr>
            <w:tcW w:w="1620" w:type="dxa"/>
          </w:tcPr>
          <w:p w:rsidR="003F17F0" w:rsidRPr="00332FD2" w:rsidRDefault="003F17F0" w:rsidP="00072D77">
            <w:pPr>
              <w:spacing w:line="360" w:lineRule="auto"/>
              <w:jc w:val="center"/>
              <w:rPr>
                <w:rFonts w:ascii="宋体" w:hAnsi="宋体"/>
                <w:sz w:val="28"/>
                <w:szCs w:val="28"/>
              </w:rPr>
            </w:pPr>
            <w:r w:rsidRPr="00332FD2">
              <w:rPr>
                <w:rFonts w:ascii="宋体" w:hAnsi="宋体" w:hint="eastAsia"/>
                <w:sz w:val="28"/>
                <w:szCs w:val="28"/>
              </w:rPr>
              <w:t>增长（%）</w:t>
            </w:r>
          </w:p>
        </w:tc>
        <w:tc>
          <w:tcPr>
            <w:tcW w:w="1620" w:type="dxa"/>
          </w:tcPr>
          <w:p w:rsidR="003F17F0" w:rsidRPr="00332FD2" w:rsidRDefault="003F17F0" w:rsidP="00072D77">
            <w:pPr>
              <w:spacing w:line="360" w:lineRule="auto"/>
              <w:jc w:val="center"/>
              <w:rPr>
                <w:rFonts w:ascii="宋体" w:hAnsi="宋体"/>
                <w:sz w:val="28"/>
                <w:szCs w:val="28"/>
              </w:rPr>
            </w:pPr>
            <w:r w:rsidRPr="00332FD2">
              <w:rPr>
                <w:rFonts w:ascii="宋体" w:hAnsi="宋体" w:hint="eastAsia"/>
                <w:sz w:val="28"/>
                <w:szCs w:val="28"/>
              </w:rPr>
              <w:t>增长（%）</w:t>
            </w:r>
          </w:p>
        </w:tc>
        <w:tc>
          <w:tcPr>
            <w:tcW w:w="1440" w:type="dxa"/>
          </w:tcPr>
          <w:p w:rsidR="003F17F0" w:rsidRPr="00332FD2" w:rsidRDefault="003F17F0" w:rsidP="00072D77">
            <w:pPr>
              <w:spacing w:line="360" w:lineRule="auto"/>
              <w:jc w:val="center"/>
              <w:rPr>
                <w:rFonts w:ascii="宋体" w:hAnsi="宋体"/>
                <w:sz w:val="28"/>
                <w:szCs w:val="28"/>
              </w:rPr>
            </w:pPr>
            <w:r w:rsidRPr="00332FD2">
              <w:rPr>
                <w:rFonts w:ascii="宋体" w:hAnsi="宋体" w:hint="eastAsia"/>
                <w:sz w:val="28"/>
                <w:szCs w:val="28"/>
              </w:rPr>
              <w:t>增长（%）</w:t>
            </w:r>
          </w:p>
        </w:tc>
      </w:tr>
      <w:tr w:rsidR="003F17F0" w:rsidRPr="00332FD2" w:rsidTr="00072D77">
        <w:trPr>
          <w:cantSplit/>
          <w:trHeight w:val="493"/>
        </w:trPr>
        <w:tc>
          <w:tcPr>
            <w:tcW w:w="1980" w:type="dxa"/>
          </w:tcPr>
          <w:p w:rsidR="003F17F0" w:rsidRPr="00332FD2" w:rsidRDefault="003F17F0" w:rsidP="00072D77">
            <w:pPr>
              <w:spacing w:line="360" w:lineRule="auto"/>
              <w:jc w:val="center"/>
              <w:rPr>
                <w:rFonts w:ascii="宋体" w:hAnsi="宋体"/>
                <w:sz w:val="28"/>
                <w:szCs w:val="28"/>
              </w:rPr>
            </w:pPr>
            <w:r w:rsidRPr="00332FD2">
              <w:rPr>
                <w:rFonts w:ascii="宋体" w:hAnsi="宋体"/>
                <w:sz w:val="28"/>
                <w:szCs w:val="28"/>
              </w:rPr>
              <w:t>GDP</w:t>
            </w:r>
          </w:p>
        </w:tc>
        <w:tc>
          <w:tcPr>
            <w:tcW w:w="1440" w:type="dxa"/>
          </w:tcPr>
          <w:p w:rsidR="003F17F0" w:rsidRPr="00332FD2" w:rsidRDefault="003F17F0" w:rsidP="00072D77">
            <w:pPr>
              <w:spacing w:line="360" w:lineRule="auto"/>
              <w:jc w:val="center"/>
              <w:rPr>
                <w:rFonts w:ascii="宋体" w:hAnsi="宋体"/>
                <w:color w:val="000000"/>
                <w:sz w:val="28"/>
                <w:szCs w:val="28"/>
              </w:rPr>
            </w:pPr>
            <w:r w:rsidRPr="00332FD2">
              <w:rPr>
                <w:rFonts w:ascii="宋体" w:hAnsi="宋体" w:hint="eastAsia"/>
                <w:color w:val="000000"/>
                <w:sz w:val="28"/>
                <w:szCs w:val="28"/>
              </w:rPr>
              <w:t>6.9</w:t>
            </w:r>
          </w:p>
        </w:tc>
        <w:tc>
          <w:tcPr>
            <w:tcW w:w="1620" w:type="dxa"/>
          </w:tcPr>
          <w:p w:rsidR="003F17F0" w:rsidRPr="00332FD2" w:rsidRDefault="003F17F0" w:rsidP="00072D77">
            <w:pPr>
              <w:spacing w:line="360" w:lineRule="auto"/>
              <w:jc w:val="center"/>
              <w:rPr>
                <w:rFonts w:ascii="宋体" w:hAnsi="宋体"/>
                <w:color w:val="000000"/>
                <w:sz w:val="28"/>
                <w:szCs w:val="28"/>
              </w:rPr>
            </w:pPr>
            <w:r w:rsidRPr="00332FD2">
              <w:rPr>
                <w:rFonts w:ascii="宋体" w:hAnsi="宋体" w:hint="eastAsia"/>
                <w:color w:val="000000"/>
                <w:sz w:val="28"/>
                <w:szCs w:val="28"/>
              </w:rPr>
              <w:t>6.8</w:t>
            </w:r>
          </w:p>
        </w:tc>
        <w:tc>
          <w:tcPr>
            <w:tcW w:w="1620" w:type="dxa"/>
          </w:tcPr>
          <w:p w:rsidR="003F17F0" w:rsidRPr="00332FD2" w:rsidRDefault="003F17F0" w:rsidP="00E65A19">
            <w:pPr>
              <w:spacing w:line="360" w:lineRule="auto"/>
              <w:jc w:val="center"/>
              <w:rPr>
                <w:rFonts w:ascii="宋体" w:hAnsi="宋体"/>
                <w:color w:val="000000"/>
                <w:sz w:val="28"/>
                <w:szCs w:val="28"/>
              </w:rPr>
            </w:pPr>
            <w:r w:rsidRPr="00332FD2">
              <w:rPr>
                <w:rFonts w:ascii="宋体" w:hAnsi="宋体" w:hint="eastAsia"/>
                <w:color w:val="000000"/>
                <w:sz w:val="28"/>
                <w:szCs w:val="28"/>
              </w:rPr>
              <w:t>6.</w:t>
            </w:r>
            <w:r w:rsidR="00E65A19">
              <w:rPr>
                <w:rFonts w:ascii="宋体" w:hAnsi="宋体" w:hint="eastAsia"/>
                <w:color w:val="000000"/>
                <w:sz w:val="28"/>
                <w:szCs w:val="28"/>
              </w:rPr>
              <w:t>4</w:t>
            </w:r>
          </w:p>
        </w:tc>
        <w:tc>
          <w:tcPr>
            <w:tcW w:w="1440" w:type="dxa"/>
          </w:tcPr>
          <w:p w:rsidR="003F17F0" w:rsidRPr="00332FD2" w:rsidRDefault="003F17F0" w:rsidP="00E65A19">
            <w:pPr>
              <w:spacing w:line="360" w:lineRule="auto"/>
              <w:jc w:val="center"/>
              <w:rPr>
                <w:rFonts w:ascii="宋体" w:hAnsi="宋体"/>
                <w:color w:val="000000"/>
                <w:sz w:val="28"/>
                <w:szCs w:val="28"/>
              </w:rPr>
            </w:pPr>
            <w:r w:rsidRPr="00332FD2">
              <w:rPr>
                <w:rFonts w:ascii="宋体" w:hAnsi="宋体" w:hint="eastAsia"/>
                <w:color w:val="000000"/>
                <w:sz w:val="28"/>
                <w:szCs w:val="28"/>
              </w:rPr>
              <w:t>6.</w:t>
            </w:r>
            <w:r w:rsidR="00E65A19">
              <w:rPr>
                <w:rFonts w:ascii="宋体" w:hAnsi="宋体" w:hint="eastAsia"/>
                <w:color w:val="000000"/>
                <w:sz w:val="28"/>
                <w:szCs w:val="28"/>
              </w:rPr>
              <w:t>3</w:t>
            </w:r>
          </w:p>
        </w:tc>
      </w:tr>
      <w:tr w:rsidR="003F17F0" w:rsidRPr="00332FD2" w:rsidTr="00072D77">
        <w:trPr>
          <w:cantSplit/>
          <w:trHeight w:val="457"/>
        </w:trPr>
        <w:tc>
          <w:tcPr>
            <w:tcW w:w="1980" w:type="dxa"/>
          </w:tcPr>
          <w:p w:rsidR="003F17F0" w:rsidRPr="00332FD2" w:rsidRDefault="003F17F0" w:rsidP="00072D77">
            <w:pPr>
              <w:spacing w:line="360" w:lineRule="auto"/>
              <w:jc w:val="center"/>
              <w:rPr>
                <w:rFonts w:ascii="宋体" w:hAnsi="宋体"/>
                <w:sz w:val="28"/>
                <w:szCs w:val="28"/>
              </w:rPr>
            </w:pPr>
            <w:r w:rsidRPr="00332FD2">
              <w:rPr>
                <w:rFonts w:ascii="宋体" w:hAnsi="宋体" w:hint="eastAsia"/>
                <w:sz w:val="28"/>
                <w:szCs w:val="28"/>
              </w:rPr>
              <w:t>工业增加值</w:t>
            </w:r>
          </w:p>
        </w:tc>
        <w:tc>
          <w:tcPr>
            <w:tcW w:w="1440" w:type="dxa"/>
          </w:tcPr>
          <w:p w:rsidR="003F17F0" w:rsidRPr="00332FD2" w:rsidRDefault="003F17F0" w:rsidP="00072D77">
            <w:pPr>
              <w:spacing w:line="360" w:lineRule="auto"/>
              <w:jc w:val="center"/>
              <w:rPr>
                <w:rFonts w:ascii="宋体" w:hAnsi="宋体"/>
                <w:color w:val="000000"/>
                <w:sz w:val="28"/>
                <w:szCs w:val="28"/>
              </w:rPr>
            </w:pPr>
            <w:r w:rsidRPr="00332FD2">
              <w:rPr>
                <w:rFonts w:ascii="宋体" w:hAnsi="宋体" w:hint="eastAsia"/>
                <w:color w:val="000000"/>
                <w:sz w:val="28"/>
                <w:szCs w:val="28"/>
              </w:rPr>
              <w:t>6.6</w:t>
            </w:r>
          </w:p>
        </w:tc>
        <w:tc>
          <w:tcPr>
            <w:tcW w:w="1620" w:type="dxa"/>
          </w:tcPr>
          <w:p w:rsidR="003F17F0" w:rsidRPr="00332FD2" w:rsidRDefault="003F17F0" w:rsidP="00E65A19">
            <w:pPr>
              <w:spacing w:line="360" w:lineRule="auto"/>
              <w:jc w:val="center"/>
              <w:rPr>
                <w:rFonts w:ascii="宋体" w:hAnsi="宋体"/>
                <w:color w:val="000000"/>
                <w:sz w:val="28"/>
                <w:szCs w:val="28"/>
              </w:rPr>
            </w:pPr>
            <w:r w:rsidRPr="00332FD2">
              <w:rPr>
                <w:rFonts w:ascii="宋体" w:hAnsi="宋体" w:hint="eastAsia"/>
                <w:color w:val="000000"/>
                <w:sz w:val="28"/>
                <w:szCs w:val="28"/>
              </w:rPr>
              <w:t>6.</w:t>
            </w:r>
            <w:r w:rsidR="00E65A19">
              <w:rPr>
                <w:rFonts w:ascii="宋体" w:hAnsi="宋体" w:hint="eastAsia"/>
                <w:color w:val="000000"/>
                <w:sz w:val="28"/>
                <w:szCs w:val="28"/>
              </w:rPr>
              <w:t>7</w:t>
            </w:r>
          </w:p>
        </w:tc>
        <w:tc>
          <w:tcPr>
            <w:tcW w:w="1620" w:type="dxa"/>
          </w:tcPr>
          <w:p w:rsidR="003F17F0" w:rsidRPr="00332FD2" w:rsidRDefault="003F17F0" w:rsidP="00E65A19">
            <w:pPr>
              <w:spacing w:line="360" w:lineRule="auto"/>
              <w:jc w:val="center"/>
              <w:rPr>
                <w:rFonts w:ascii="宋体" w:hAnsi="宋体"/>
                <w:color w:val="000000"/>
                <w:sz w:val="28"/>
                <w:szCs w:val="28"/>
              </w:rPr>
            </w:pPr>
            <w:r w:rsidRPr="00332FD2">
              <w:rPr>
                <w:rFonts w:ascii="宋体" w:hAnsi="宋体" w:hint="eastAsia"/>
                <w:color w:val="000000"/>
                <w:sz w:val="28"/>
                <w:szCs w:val="28"/>
              </w:rPr>
              <w:t>6.</w:t>
            </w:r>
            <w:r w:rsidR="00E65A19">
              <w:rPr>
                <w:rFonts w:ascii="宋体" w:hAnsi="宋体" w:hint="eastAsia"/>
                <w:color w:val="000000"/>
                <w:sz w:val="28"/>
                <w:szCs w:val="28"/>
              </w:rPr>
              <w:t>5</w:t>
            </w:r>
          </w:p>
        </w:tc>
        <w:tc>
          <w:tcPr>
            <w:tcW w:w="1440" w:type="dxa"/>
          </w:tcPr>
          <w:p w:rsidR="003F17F0" w:rsidRPr="00332FD2" w:rsidRDefault="003F17F0" w:rsidP="00E65A19">
            <w:pPr>
              <w:spacing w:line="360" w:lineRule="auto"/>
              <w:jc w:val="center"/>
              <w:rPr>
                <w:rFonts w:ascii="宋体" w:hAnsi="宋体"/>
                <w:color w:val="000000"/>
                <w:sz w:val="28"/>
                <w:szCs w:val="28"/>
              </w:rPr>
            </w:pPr>
            <w:r w:rsidRPr="00332FD2">
              <w:rPr>
                <w:rFonts w:ascii="宋体" w:hAnsi="宋体" w:hint="eastAsia"/>
                <w:color w:val="000000"/>
                <w:sz w:val="28"/>
                <w:szCs w:val="28"/>
              </w:rPr>
              <w:t>6.</w:t>
            </w:r>
            <w:r w:rsidR="00E65A19">
              <w:rPr>
                <w:rFonts w:ascii="宋体" w:hAnsi="宋体" w:hint="eastAsia"/>
                <w:color w:val="000000"/>
                <w:sz w:val="28"/>
                <w:szCs w:val="28"/>
              </w:rPr>
              <w:t>4</w:t>
            </w:r>
          </w:p>
        </w:tc>
      </w:tr>
      <w:tr w:rsidR="003F17F0" w:rsidRPr="00332FD2" w:rsidTr="00072D77">
        <w:trPr>
          <w:cantSplit/>
          <w:trHeight w:val="462"/>
        </w:trPr>
        <w:tc>
          <w:tcPr>
            <w:tcW w:w="1980" w:type="dxa"/>
          </w:tcPr>
          <w:p w:rsidR="003F17F0" w:rsidRPr="00332FD2" w:rsidRDefault="003F17F0" w:rsidP="00072D77">
            <w:pPr>
              <w:spacing w:line="360" w:lineRule="auto"/>
              <w:jc w:val="center"/>
              <w:rPr>
                <w:rFonts w:ascii="宋体" w:hAnsi="宋体"/>
                <w:sz w:val="28"/>
                <w:szCs w:val="28"/>
              </w:rPr>
            </w:pPr>
            <w:r w:rsidRPr="00332FD2">
              <w:rPr>
                <w:rFonts w:ascii="宋体" w:hAnsi="宋体" w:hint="eastAsia"/>
                <w:sz w:val="28"/>
                <w:szCs w:val="28"/>
              </w:rPr>
              <w:t>固定资产投资</w:t>
            </w:r>
          </w:p>
        </w:tc>
        <w:tc>
          <w:tcPr>
            <w:tcW w:w="1440" w:type="dxa"/>
          </w:tcPr>
          <w:p w:rsidR="003F17F0" w:rsidRPr="00332FD2" w:rsidRDefault="003F17F0" w:rsidP="00072D77">
            <w:pPr>
              <w:spacing w:line="360" w:lineRule="auto"/>
              <w:jc w:val="center"/>
              <w:rPr>
                <w:rFonts w:ascii="宋体" w:hAnsi="宋体"/>
                <w:color w:val="000000"/>
                <w:sz w:val="28"/>
                <w:szCs w:val="28"/>
              </w:rPr>
            </w:pPr>
            <w:r w:rsidRPr="00332FD2">
              <w:rPr>
                <w:rFonts w:ascii="宋体" w:hAnsi="宋体" w:hint="eastAsia"/>
                <w:color w:val="000000"/>
                <w:sz w:val="28"/>
                <w:szCs w:val="28"/>
              </w:rPr>
              <w:t>7.2</w:t>
            </w:r>
          </w:p>
        </w:tc>
        <w:tc>
          <w:tcPr>
            <w:tcW w:w="1620" w:type="dxa"/>
          </w:tcPr>
          <w:p w:rsidR="003F17F0" w:rsidRPr="00332FD2" w:rsidRDefault="003F17F0" w:rsidP="00072D77">
            <w:pPr>
              <w:spacing w:line="360" w:lineRule="auto"/>
              <w:jc w:val="center"/>
              <w:rPr>
                <w:rFonts w:ascii="宋体" w:hAnsi="宋体"/>
                <w:color w:val="000000"/>
                <w:sz w:val="28"/>
                <w:szCs w:val="28"/>
              </w:rPr>
            </w:pPr>
            <w:r>
              <w:rPr>
                <w:rFonts w:ascii="宋体" w:hAnsi="宋体" w:hint="eastAsia"/>
                <w:color w:val="000000"/>
                <w:sz w:val="28"/>
                <w:szCs w:val="28"/>
              </w:rPr>
              <w:t>6</w:t>
            </w:r>
            <w:r w:rsidRPr="00332FD2">
              <w:rPr>
                <w:rFonts w:ascii="宋体" w:hAnsi="宋体" w:hint="eastAsia"/>
                <w:color w:val="000000"/>
                <w:sz w:val="28"/>
                <w:szCs w:val="28"/>
              </w:rPr>
              <w:t>.</w:t>
            </w:r>
            <w:r>
              <w:rPr>
                <w:rFonts w:ascii="宋体" w:hAnsi="宋体" w:hint="eastAsia"/>
                <w:color w:val="000000"/>
                <w:sz w:val="28"/>
                <w:szCs w:val="28"/>
              </w:rPr>
              <w:t>0</w:t>
            </w:r>
          </w:p>
        </w:tc>
        <w:tc>
          <w:tcPr>
            <w:tcW w:w="1620" w:type="dxa"/>
          </w:tcPr>
          <w:p w:rsidR="003F17F0" w:rsidRPr="00332FD2" w:rsidRDefault="003F17F0" w:rsidP="003F17F0">
            <w:pPr>
              <w:spacing w:line="360" w:lineRule="auto"/>
              <w:jc w:val="center"/>
              <w:rPr>
                <w:rFonts w:ascii="宋体" w:hAnsi="宋体"/>
                <w:color w:val="000000"/>
                <w:sz w:val="28"/>
                <w:szCs w:val="28"/>
              </w:rPr>
            </w:pPr>
            <w:r>
              <w:rPr>
                <w:rFonts w:ascii="宋体" w:hAnsi="宋体" w:hint="eastAsia"/>
                <w:color w:val="000000"/>
                <w:sz w:val="28"/>
                <w:szCs w:val="28"/>
              </w:rPr>
              <w:t>5</w:t>
            </w:r>
            <w:r w:rsidRPr="00332FD2">
              <w:rPr>
                <w:rFonts w:ascii="宋体" w:hAnsi="宋体" w:hint="eastAsia"/>
                <w:color w:val="000000"/>
                <w:sz w:val="28"/>
                <w:szCs w:val="28"/>
              </w:rPr>
              <w:t>.</w:t>
            </w:r>
            <w:r>
              <w:rPr>
                <w:rFonts w:ascii="宋体" w:hAnsi="宋体" w:hint="eastAsia"/>
                <w:color w:val="000000"/>
                <w:sz w:val="28"/>
                <w:szCs w:val="28"/>
              </w:rPr>
              <w:t>8</w:t>
            </w:r>
          </w:p>
        </w:tc>
        <w:tc>
          <w:tcPr>
            <w:tcW w:w="1440" w:type="dxa"/>
          </w:tcPr>
          <w:p w:rsidR="003F17F0" w:rsidRPr="00332FD2" w:rsidRDefault="00E65A19" w:rsidP="00E65A19">
            <w:pPr>
              <w:spacing w:line="360" w:lineRule="auto"/>
              <w:jc w:val="center"/>
              <w:rPr>
                <w:rFonts w:ascii="宋体" w:hAnsi="宋体"/>
                <w:color w:val="000000"/>
                <w:sz w:val="28"/>
                <w:szCs w:val="28"/>
              </w:rPr>
            </w:pPr>
            <w:r>
              <w:rPr>
                <w:rFonts w:ascii="宋体" w:hAnsi="宋体" w:hint="eastAsia"/>
                <w:color w:val="000000"/>
                <w:sz w:val="28"/>
                <w:szCs w:val="28"/>
              </w:rPr>
              <w:t>5</w:t>
            </w:r>
            <w:r w:rsidR="003F17F0" w:rsidRPr="00332FD2">
              <w:rPr>
                <w:rFonts w:ascii="宋体" w:hAnsi="宋体" w:hint="eastAsia"/>
                <w:color w:val="000000"/>
                <w:sz w:val="28"/>
                <w:szCs w:val="28"/>
              </w:rPr>
              <w:t>.</w:t>
            </w:r>
            <w:r>
              <w:rPr>
                <w:rFonts w:ascii="宋体" w:hAnsi="宋体" w:hint="eastAsia"/>
                <w:color w:val="000000"/>
                <w:sz w:val="28"/>
                <w:szCs w:val="28"/>
              </w:rPr>
              <w:t>7</w:t>
            </w:r>
          </w:p>
        </w:tc>
      </w:tr>
      <w:tr w:rsidR="003F17F0" w:rsidRPr="00332FD2" w:rsidTr="00072D77">
        <w:trPr>
          <w:cantSplit/>
          <w:trHeight w:val="457"/>
        </w:trPr>
        <w:tc>
          <w:tcPr>
            <w:tcW w:w="1980" w:type="dxa"/>
          </w:tcPr>
          <w:p w:rsidR="003F17F0" w:rsidRPr="00332FD2" w:rsidRDefault="003F17F0" w:rsidP="00072D77">
            <w:pPr>
              <w:spacing w:line="360" w:lineRule="auto"/>
              <w:jc w:val="center"/>
              <w:rPr>
                <w:rFonts w:ascii="宋体" w:hAnsi="宋体"/>
                <w:sz w:val="28"/>
                <w:szCs w:val="28"/>
              </w:rPr>
            </w:pPr>
            <w:r w:rsidRPr="00332FD2">
              <w:rPr>
                <w:rFonts w:ascii="宋体" w:hAnsi="宋体" w:hint="eastAsia"/>
                <w:sz w:val="28"/>
                <w:szCs w:val="28"/>
              </w:rPr>
              <w:t>消费品零售额</w:t>
            </w:r>
          </w:p>
        </w:tc>
        <w:tc>
          <w:tcPr>
            <w:tcW w:w="1440" w:type="dxa"/>
          </w:tcPr>
          <w:p w:rsidR="003F17F0" w:rsidRPr="00332FD2" w:rsidRDefault="003F17F0" w:rsidP="00072D77">
            <w:pPr>
              <w:spacing w:line="360" w:lineRule="auto"/>
              <w:jc w:val="center"/>
              <w:rPr>
                <w:rFonts w:ascii="宋体" w:hAnsi="宋体"/>
                <w:color w:val="000000"/>
                <w:sz w:val="28"/>
                <w:szCs w:val="28"/>
              </w:rPr>
            </w:pPr>
            <w:r w:rsidRPr="00332FD2">
              <w:rPr>
                <w:rFonts w:ascii="宋体" w:hAnsi="宋体" w:hint="eastAsia"/>
                <w:color w:val="000000"/>
                <w:sz w:val="28"/>
                <w:szCs w:val="28"/>
              </w:rPr>
              <w:t>10.2</w:t>
            </w:r>
          </w:p>
        </w:tc>
        <w:tc>
          <w:tcPr>
            <w:tcW w:w="1620" w:type="dxa"/>
          </w:tcPr>
          <w:p w:rsidR="003F17F0" w:rsidRPr="00332FD2" w:rsidRDefault="00045888" w:rsidP="00045888">
            <w:pPr>
              <w:spacing w:line="360" w:lineRule="auto"/>
              <w:jc w:val="center"/>
              <w:rPr>
                <w:rFonts w:ascii="宋体" w:hAnsi="宋体"/>
                <w:color w:val="000000"/>
                <w:sz w:val="28"/>
                <w:szCs w:val="28"/>
              </w:rPr>
            </w:pPr>
            <w:r>
              <w:rPr>
                <w:rFonts w:ascii="宋体" w:hAnsi="宋体" w:hint="eastAsia"/>
                <w:color w:val="000000"/>
                <w:sz w:val="28"/>
                <w:szCs w:val="28"/>
              </w:rPr>
              <w:t>9</w:t>
            </w:r>
            <w:r w:rsidR="003F17F0" w:rsidRPr="00332FD2">
              <w:rPr>
                <w:rFonts w:ascii="宋体" w:hAnsi="宋体" w:hint="eastAsia"/>
                <w:color w:val="000000"/>
                <w:sz w:val="28"/>
                <w:szCs w:val="28"/>
              </w:rPr>
              <w:t>.</w:t>
            </w:r>
            <w:r>
              <w:rPr>
                <w:rFonts w:ascii="宋体" w:hAnsi="宋体" w:hint="eastAsia"/>
                <w:color w:val="000000"/>
                <w:sz w:val="28"/>
                <w:szCs w:val="28"/>
              </w:rPr>
              <w:t>4</w:t>
            </w:r>
          </w:p>
        </w:tc>
        <w:tc>
          <w:tcPr>
            <w:tcW w:w="1620" w:type="dxa"/>
          </w:tcPr>
          <w:p w:rsidR="003F17F0" w:rsidRPr="00332FD2" w:rsidRDefault="00045888" w:rsidP="00045888">
            <w:pPr>
              <w:spacing w:line="360" w:lineRule="auto"/>
              <w:jc w:val="center"/>
              <w:rPr>
                <w:rFonts w:ascii="宋体" w:hAnsi="宋体"/>
                <w:color w:val="000000"/>
                <w:sz w:val="28"/>
                <w:szCs w:val="28"/>
              </w:rPr>
            </w:pPr>
            <w:r>
              <w:rPr>
                <w:rFonts w:ascii="宋体" w:hAnsi="宋体" w:hint="eastAsia"/>
                <w:color w:val="000000"/>
                <w:sz w:val="28"/>
                <w:szCs w:val="28"/>
              </w:rPr>
              <w:t>9</w:t>
            </w:r>
            <w:r w:rsidR="003F17F0" w:rsidRPr="00332FD2">
              <w:rPr>
                <w:rFonts w:ascii="宋体" w:hAnsi="宋体" w:hint="eastAsia"/>
                <w:color w:val="000000"/>
                <w:sz w:val="28"/>
                <w:szCs w:val="28"/>
              </w:rPr>
              <w:t>.</w:t>
            </w:r>
            <w:r>
              <w:rPr>
                <w:rFonts w:ascii="宋体" w:hAnsi="宋体" w:hint="eastAsia"/>
                <w:color w:val="000000"/>
                <w:sz w:val="28"/>
                <w:szCs w:val="28"/>
              </w:rPr>
              <w:t>0</w:t>
            </w:r>
          </w:p>
        </w:tc>
        <w:tc>
          <w:tcPr>
            <w:tcW w:w="1440" w:type="dxa"/>
          </w:tcPr>
          <w:p w:rsidR="003F17F0" w:rsidRPr="00332FD2" w:rsidRDefault="00850FAC" w:rsidP="00850FAC">
            <w:pPr>
              <w:spacing w:line="360" w:lineRule="auto"/>
              <w:jc w:val="center"/>
              <w:rPr>
                <w:rFonts w:ascii="宋体" w:hAnsi="宋体"/>
                <w:color w:val="000000"/>
                <w:sz w:val="28"/>
                <w:szCs w:val="28"/>
              </w:rPr>
            </w:pPr>
            <w:r>
              <w:rPr>
                <w:rFonts w:ascii="宋体" w:hAnsi="宋体" w:hint="eastAsia"/>
                <w:color w:val="000000"/>
                <w:sz w:val="28"/>
                <w:szCs w:val="28"/>
              </w:rPr>
              <w:t>9</w:t>
            </w:r>
            <w:r w:rsidR="003F17F0" w:rsidRPr="00332FD2">
              <w:rPr>
                <w:rFonts w:ascii="宋体" w:hAnsi="宋体" w:hint="eastAsia"/>
                <w:color w:val="000000"/>
                <w:sz w:val="28"/>
                <w:szCs w:val="28"/>
              </w:rPr>
              <w:t>.</w:t>
            </w:r>
            <w:r>
              <w:rPr>
                <w:rFonts w:ascii="宋体" w:hAnsi="宋体" w:hint="eastAsia"/>
                <w:color w:val="000000"/>
                <w:sz w:val="28"/>
                <w:szCs w:val="28"/>
              </w:rPr>
              <w:t>2</w:t>
            </w:r>
          </w:p>
        </w:tc>
      </w:tr>
      <w:tr w:rsidR="003F17F0" w:rsidRPr="00332FD2" w:rsidTr="00072D77">
        <w:trPr>
          <w:cantSplit/>
          <w:trHeight w:val="453"/>
        </w:trPr>
        <w:tc>
          <w:tcPr>
            <w:tcW w:w="1980" w:type="dxa"/>
          </w:tcPr>
          <w:p w:rsidR="003F17F0" w:rsidRPr="00332FD2" w:rsidRDefault="003F17F0" w:rsidP="00072D77">
            <w:pPr>
              <w:spacing w:line="360" w:lineRule="auto"/>
              <w:jc w:val="center"/>
              <w:rPr>
                <w:rFonts w:ascii="宋体" w:hAnsi="宋体"/>
                <w:sz w:val="28"/>
                <w:szCs w:val="28"/>
              </w:rPr>
            </w:pPr>
            <w:r w:rsidRPr="00332FD2">
              <w:rPr>
                <w:rFonts w:ascii="宋体" w:hAnsi="宋体" w:hint="eastAsia"/>
                <w:sz w:val="28"/>
                <w:szCs w:val="28"/>
              </w:rPr>
              <w:t>出口</w:t>
            </w:r>
          </w:p>
        </w:tc>
        <w:tc>
          <w:tcPr>
            <w:tcW w:w="1440" w:type="dxa"/>
          </w:tcPr>
          <w:p w:rsidR="003F17F0" w:rsidRPr="00332FD2" w:rsidRDefault="003F17F0" w:rsidP="00072D77">
            <w:pPr>
              <w:spacing w:line="360" w:lineRule="auto"/>
              <w:jc w:val="center"/>
              <w:rPr>
                <w:rFonts w:ascii="宋体" w:hAnsi="宋体"/>
                <w:color w:val="000000"/>
                <w:sz w:val="28"/>
                <w:szCs w:val="28"/>
              </w:rPr>
            </w:pPr>
            <w:r w:rsidRPr="00332FD2">
              <w:rPr>
                <w:rFonts w:ascii="宋体" w:hAnsi="宋体" w:hint="eastAsia"/>
                <w:color w:val="000000"/>
                <w:sz w:val="28"/>
                <w:szCs w:val="28"/>
              </w:rPr>
              <w:t>10.8</w:t>
            </w:r>
          </w:p>
        </w:tc>
        <w:tc>
          <w:tcPr>
            <w:tcW w:w="1620" w:type="dxa"/>
          </w:tcPr>
          <w:p w:rsidR="003F17F0" w:rsidRPr="00332FD2" w:rsidRDefault="003F17F0" w:rsidP="003F17F0">
            <w:pPr>
              <w:spacing w:line="360" w:lineRule="auto"/>
              <w:jc w:val="center"/>
              <w:rPr>
                <w:rFonts w:ascii="宋体" w:hAnsi="宋体"/>
                <w:color w:val="000000"/>
                <w:sz w:val="28"/>
                <w:szCs w:val="28"/>
              </w:rPr>
            </w:pPr>
            <w:r>
              <w:rPr>
                <w:rFonts w:ascii="宋体" w:hAnsi="宋体" w:hint="eastAsia"/>
                <w:color w:val="000000"/>
                <w:sz w:val="28"/>
                <w:szCs w:val="28"/>
              </w:rPr>
              <w:t>4</w:t>
            </w:r>
            <w:r w:rsidRPr="00332FD2">
              <w:rPr>
                <w:rFonts w:ascii="宋体" w:hAnsi="宋体" w:hint="eastAsia"/>
                <w:color w:val="000000"/>
                <w:sz w:val="28"/>
                <w:szCs w:val="28"/>
              </w:rPr>
              <w:t>.</w:t>
            </w:r>
            <w:r>
              <w:rPr>
                <w:rFonts w:ascii="宋体" w:hAnsi="宋体" w:hint="eastAsia"/>
                <w:color w:val="000000"/>
                <w:sz w:val="28"/>
                <w:szCs w:val="28"/>
              </w:rPr>
              <w:t>9</w:t>
            </w:r>
          </w:p>
        </w:tc>
        <w:tc>
          <w:tcPr>
            <w:tcW w:w="1620" w:type="dxa"/>
          </w:tcPr>
          <w:p w:rsidR="003F17F0" w:rsidRPr="00332FD2" w:rsidRDefault="003F17F0" w:rsidP="00045888">
            <w:pPr>
              <w:spacing w:line="360" w:lineRule="auto"/>
              <w:jc w:val="center"/>
              <w:rPr>
                <w:rFonts w:ascii="宋体" w:hAnsi="宋体"/>
                <w:color w:val="000000"/>
                <w:sz w:val="28"/>
                <w:szCs w:val="28"/>
              </w:rPr>
            </w:pPr>
            <w:r>
              <w:rPr>
                <w:rFonts w:ascii="宋体" w:hAnsi="宋体" w:hint="eastAsia"/>
                <w:color w:val="000000"/>
                <w:sz w:val="28"/>
                <w:szCs w:val="28"/>
              </w:rPr>
              <w:t>2</w:t>
            </w:r>
            <w:r w:rsidRPr="00332FD2">
              <w:rPr>
                <w:rFonts w:ascii="宋体" w:hAnsi="宋体" w:hint="eastAsia"/>
                <w:color w:val="000000"/>
                <w:sz w:val="28"/>
                <w:szCs w:val="28"/>
              </w:rPr>
              <w:t>.</w:t>
            </w:r>
            <w:r w:rsidR="00045888">
              <w:rPr>
                <w:rFonts w:ascii="宋体" w:hAnsi="宋体" w:hint="eastAsia"/>
                <w:color w:val="000000"/>
                <w:sz w:val="28"/>
                <w:szCs w:val="28"/>
              </w:rPr>
              <w:t>0</w:t>
            </w:r>
          </w:p>
        </w:tc>
        <w:tc>
          <w:tcPr>
            <w:tcW w:w="1440" w:type="dxa"/>
          </w:tcPr>
          <w:p w:rsidR="003F17F0" w:rsidRPr="00332FD2" w:rsidRDefault="003F17F0" w:rsidP="00072D77">
            <w:pPr>
              <w:spacing w:line="360" w:lineRule="auto"/>
              <w:jc w:val="center"/>
              <w:rPr>
                <w:rFonts w:ascii="宋体" w:hAnsi="宋体"/>
                <w:color w:val="000000"/>
                <w:sz w:val="28"/>
                <w:szCs w:val="28"/>
              </w:rPr>
            </w:pPr>
            <w:r>
              <w:rPr>
                <w:rFonts w:ascii="宋体" w:hAnsi="宋体" w:hint="eastAsia"/>
                <w:color w:val="000000"/>
                <w:sz w:val="28"/>
                <w:szCs w:val="28"/>
              </w:rPr>
              <w:t>3</w:t>
            </w:r>
            <w:r w:rsidRPr="00332FD2">
              <w:rPr>
                <w:rFonts w:ascii="宋体" w:hAnsi="宋体" w:hint="eastAsia"/>
                <w:color w:val="000000"/>
                <w:sz w:val="28"/>
                <w:szCs w:val="28"/>
              </w:rPr>
              <w:t>.0</w:t>
            </w:r>
          </w:p>
        </w:tc>
      </w:tr>
      <w:tr w:rsidR="003F17F0" w:rsidRPr="00332FD2" w:rsidTr="00072D77">
        <w:trPr>
          <w:cantSplit/>
          <w:trHeight w:val="459"/>
        </w:trPr>
        <w:tc>
          <w:tcPr>
            <w:tcW w:w="1980" w:type="dxa"/>
          </w:tcPr>
          <w:p w:rsidR="003F17F0" w:rsidRPr="00332FD2" w:rsidRDefault="003F17F0" w:rsidP="00072D77">
            <w:pPr>
              <w:spacing w:line="360" w:lineRule="auto"/>
              <w:jc w:val="center"/>
              <w:rPr>
                <w:rFonts w:ascii="宋体" w:hAnsi="宋体"/>
                <w:sz w:val="28"/>
                <w:szCs w:val="28"/>
              </w:rPr>
            </w:pPr>
            <w:r w:rsidRPr="00332FD2">
              <w:rPr>
                <w:rFonts w:ascii="宋体" w:hAnsi="宋体" w:hint="eastAsia"/>
                <w:sz w:val="28"/>
                <w:szCs w:val="28"/>
              </w:rPr>
              <w:t>进口</w:t>
            </w:r>
          </w:p>
        </w:tc>
        <w:tc>
          <w:tcPr>
            <w:tcW w:w="1440" w:type="dxa"/>
          </w:tcPr>
          <w:p w:rsidR="003F17F0" w:rsidRPr="00332FD2" w:rsidRDefault="003F17F0" w:rsidP="00072D77">
            <w:pPr>
              <w:spacing w:line="360" w:lineRule="auto"/>
              <w:jc w:val="center"/>
              <w:rPr>
                <w:rFonts w:ascii="宋体" w:hAnsi="宋体"/>
                <w:color w:val="000000"/>
                <w:sz w:val="28"/>
                <w:szCs w:val="28"/>
              </w:rPr>
            </w:pPr>
            <w:r w:rsidRPr="00332FD2">
              <w:rPr>
                <w:rFonts w:ascii="宋体" w:hAnsi="宋体" w:hint="eastAsia"/>
                <w:color w:val="000000"/>
                <w:sz w:val="28"/>
                <w:szCs w:val="28"/>
              </w:rPr>
              <w:t>18.7</w:t>
            </w:r>
          </w:p>
        </w:tc>
        <w:tc>
          <w:tcPr>
            <w:tcW w:w="1620" w:type="dxa"/>
          </w:tcPr>
          <w:p w:rsidR="003F17F0" w:rsidRPr="00332FD2" w:rsidRDefault="003F17F0" w:rsidP="003F17F0">
            <w:pPr>
              <w:spacing w:line="360" w:lineRule="auto"/>
              <w:jc w:val="center"/>
              <w:rPr>
                <w:rFonts w:ascii="宋体" w:hAnsi="宋体"/>
                <w:color w:val="000000"/>
                <w:sz w:val="28"/>
                <w:szCs w:val="28"/>
              </w:rPr>
            </w:pPr>
            <w:r w:rsidRPr="00332FD2">
              <w:rPr>
                <w:rFonts w:ascii="宋体" w:hAnsi="宋体" w:hint="eastAsia"/>
                <w:color w:val="000000"/>
                <w:sz w:val="28"/>
                <w:szCs w:val="28"/>
              </w:rPr>
              <w:t>11.</w:t>
            </w:r>
            <w:r>
              <w:rPr>
                <w:rFonts w:ascii="宋体" w:hAnsi="宋体" w:hint="eastAsia"/>
                <w:color w:val="000000"/>
                <w:sz w:val="28"/>
                <w:szCs w:val="28"/>
              </w:rPr>
              <w:t>5</w:t>
            </w:r>
          </w:p>
        </w:tc>
        <w:tc>
          <w:tcPr>
            <w:tcW w:w="1620" w:type="dxa"/>
          </w:tcPr>
          <w:p w:rsidR="003F17F0" w:rsidRPr="00332FD2" w:rsidRDefault="003F17F0" w:rsidP="00072D77">
            <w:pPr>
              <w:spacing w:line="360" w:lineRule="auto"/>
              <w:jc w:val="center"/>
              <w:rPr>
                <w:rFonts w:ascii="宋体" w:hAnsi="宋体"/>
                <w:color w:val="000000"/>
                <w:sz w:val="28"/>
                <w:szCs w:val="28"/>
              </w:rPr>
            </w:pPr>
            <w:r w:rsidRPr="00332FD2">
              <w:rPr>
                <w:rFonts w:ascii="宋体" w:hAnsi="宋体" w:hint="eastAsia"/>
                <w:color w:val="000000"/>
                <w:sz w:val="28"/>
                <w:szCs w:val="28"/>
              </w:rPr>
              <w:t>12.0</w:t>
            </w:r>
          </w:p>
        </w:tc>
        <w:tc>
          <w:tcPr>
            <w:tcW w:w="1440" w:type="dxa"/>
          </w:tcPr>
          <w:p w:rsidR="003F17F0" w:rsidRPr="00332FD2" w:rsidRDefault="003F17F0" w:rsidP="003F17F0">
            <w:pPr>
              <w:spacing w:line="360" w:lineRule="auto"/>
              <w:jc w:val="center"/>
              <w:rPr>
                <w:rFonts w:ascii="宋体" w:hAnsi="宋体"/>
                <w:color w:val="000000"/>
                <w:sz w:val="28"/>
                <w:szCs w:val="28"/>
              </w:rPr>
            </w:pPr>
            <w:r w:rsidRPr="00332FD2">
              <w:rPr>
                <w:rFonts w:ascii="宋体" w:hAnsi="宋体" w:hint="eastAsia"/>
                <w:color w:val="000000"/>
                <w:sz w:val="28"/>
                <w:szCs w:val="28"/>
              </w:rPr>
              <w:t>1</w:t>
            </w:r>
            <w:r>
              <w:rPr>
                <w:rFonts w:ascii="宋体" w:hAnsi="宋体" w:hint="eastAsia"/>
                <w:color w:val="000000"/>
                <w:sz w:val="28"/>
                <w:szCs w:val="28"/>
              </w:rPr>
              <w:t>1</w:t>
            </w:r>
            <w:r w:rsidRPr="00332FD2">
              <w:rPr>
                <w:rFonts w:ascii="宋体" w:hAnsi="宋体" w:hint="eastAsia"/>
                <w:color w:val="000000"/>
                <w:sz w:val="28"/>
                <w:szCs w:val="28"/>
              </w:rPr>
              <w:t>.</w:t>
            </w:r>
            <w:r>
              <w:rPr>
                <w:rFonts w:ascii="宋体" w:hAnsi="宋体" w:hint="eastAsia"/>
                <w:color w:val="000000"/>
                <w:sz w:val="28"/>
                <w:szCs w:val="28"/>
              </w:rPr>
              <w:t>8</w:t>
            </w:r>
          </w:p>
        </w:tc>
      </w:tr>
      <w:tr w:rsidR="003F17F0" w:rsidRPr="00332FD2" w:rsidTr="00072D77">
        <w:trPr>
          <w:cantSplit/>
          <w:trHeight w:val="456"/>
        </w:trPr>
        <w:tc>
          <w:tcPr>
            <w:tcW w:w="1980" w:type="dxa"/>
          </w:tcPr>
          <w:p w:rsidR="003F17F0" w:rsidRPr="00332FD2" w:rsidRDefault="003F17F0" w:rsidP="00072D77">
            <w:pPr>
              <w:spacing w:line="360" w:lineRule="auto"/>
              <w:jc w:val="center"/>
              <w:rPr>
                <w:rFonts w:ascii="宋体" w:hAnsi="宋体"/>
                <w:sz w:val="28"/>
                <w:szCs w:val="28"/>
              </w:rPr>
            </w:pPr>
            <w:r w:rsidRPr="00332FD2">
              <w:rPr>
                <w:rFonts w:ascii="宋体" w:hAnsi="宋体" w:hint="eastAsia"/>
                <w:sz w:val="28"/>
                <w:szCs w:val="28"/>
              </w:rPr>
              <w:t>消费物价</w:t>
            </w:r>
          </w:p>
        </w:tc>
        <w:tc>
          <w:tcPr>
            <w:tcW w:w="1440" w:type="dxa"/>
            <w:vAlign w:val="center"/>
          </w:tcPr>
          <w:p w:rsidR="003F17F0" w:rsidRPr="00332FD2" w:rsidRDefault="003F17F0" w:rsidP="00072D77">
            <w:pPr>
              <w:spacing w:line="360" w:lineRule="auto"/>
              <w:jc w:val="center"/>
              <w:rPr>
                <w:rFonts w:ascii="宋体" w:hAnsi="宋体"/>
                <w:color w:val="000000"/>
                <w:sz w:val="28"/>
                <w:szCs w:val="28"/>
              </w:rPr>
            </w:pPr>
            <w:r w:rsidRPr="00332FD2">
              <w:rPr>
                <w:rFonts w:ascii="宋体" w:hAnsi="宋体" w:hint="eastAsia"/>
                <w:color w:val="000000"/>
                <w:sz w:val="28"/>
                <w:szCs w:val="28"/>
              </w:rPr>
              <w:t>1.6</w:t>
            </w:r>
          </w:p>
        </w:tc>
        <w:tc>
          <w:tcPr>
            <w:tcW w:w="1620" w:type="dxa"/>
          </w:tcPr>
          <w:p w:rsidR="003F17F0" w:rsidRPr="00332FD2" w:rsidRDefault="003F17F0" w:rsidP="00850FAC">
            <w:pPr>
              <w:spacing w:line="360" w:lineRule="auto"/>
              <w:jc w:val="center"/>
              <w:rPr>
                <w:rFonts w:ascii="宋体" w:hAnsi="宋体"/>
                <w:color w:val="000000"/>
                <w:sz w:val="28"/>
                <w:szCs w:val="28"/>
              </w:rPr>
            </w:pPr>
            <w:r w:rsidRPr="00332FD2">
              <w:rPr>
                <w:rFonts w:ascii="宋体" w:hAnsi="宋体" w:hint="eastAsia"/>
                <w:color w:val="000000"/>
                <w:sz w:val="28"/>
                <w:szCs w:val="28"/>
              </w:rPr>
              <w:t>2.</w:t>
            </w:r>
            <w:r w:rsidR="00850FAC">
              <w:rPr>
                <w:rFonts w:ascii="宋体" w:hAnsi="宋体" w:hint="eastAsia"/>
                <w:color w:val="000000"/>
                <w:sz w:val="28"/>
                <w:szCs w:val="28"/>
              </w:rPr>
              <w:t>0</w:t>
            </w:r>
          </w:p>
        </w:tc>
        <w:tc>
          <w:tcPr>
            <w:tcW w:w="1620" w:type="dxa"/>
          </w:tcPr>
          <w:p w:rsidR="003F17F0" w:rsidRPr="00332FD2" w:rsidRDefault="003F17F0" w:rsidP="003F17F0">
            <w:pPr>
              <w:spacing w:line="360" w:lineRule="auto"/>
              <w:jc w:val="center"/>
              <w:rPr>
                <w:rFonts w:ascii="宋体" w:hAnsi="宋体"/>
                <w:color w:val="000000"/>
                <w:sz w:val="28"/>
                <w:szCs w:val="28"/>
              </w:rPr>
            </w:pPr>
            <w:r w:rsidRPr="00332FD2">
              <w:rPr>
                <w:rFonts w:ascii="宋体" w:hAnsi="宋体" w:hint="eastAsia"/>
                <w:color w:val="000000"/>
                <w:sz w:val="28"/>
                <w:szCs w:val="28"/>
              </w:rPr>
              <w:t>2.</w:t>
            </w:r>
            <w:r>
              <w:rPr>
                <w:rFonts w:ascii="宋体" w:hAnsi="宋体" w:hint="eastAsia"/>
                <w:color w:val="000000"/>
                <w:sz w:val="28"/>
                <w:szCs w:val="28"/>
              </w:rPr>
              <w:t>2</w:t>
            </w:r>
          </w:p>
        </w:tc>
        <w:tc>
          <w:tcPr>
            <w:tcW w:w="1440" w:type="dxa"/>
          </w:tcPr>
          <w:p w:rsidR="003F17F0" w:rsidRPr="00332FD2" w:rsidRDefault="003F17F0" w:rsidP="003F17F0">
            <w:pPr>
              <w:spacing w:line="360" w:lineRule="auto"/>
              <w:jc w:val="center"/>
              <w:rPr>
                <w:rFonts w:ascii="宋体" w:hAnsi="宋体"/>
                <w:color w:val="000000"/>
                <w:sz w:val="28"/>
                <w:szCs w:val="28"/>
              </w:rPr>
            </w:pPr>
            <w:r w:rsidRPr="00332FD2">
              <w:rPr>
                <w:rFonts w:ascii="宋体" w:hAnsi="宋体" w:hint="eastAsia"/>
                <w:color w:val="000000"/>
                <w:sz w:val="28"/>
                <w:szCs w:val="28"/>
              </w:rPr>
              <w:t>2.</w:t>
            </w:r>
            <w:r>
              <w:rPr>
                <w:rFonts w:ascii="宋体" w:hAnsi="宋体" w:hint="eastAsia"/>
                <w:color w:val="000000"/>
                <w:sz w:val="28"/>
                <w:szCs w:val="28"/>
              </w:rPr>
              <w:t>3</w:t>
            </w:r>
          </w:p>
        </w:tc>
      </w:tr>
    </w:tbl>
    <w:p w:rsidR="003F17F0" w:rsidRPr="00332FD2" w:rsidRDefault="003F17F0" w:rsidP="003F17F0">
      <w:pPr>
        <w:spacing w:line="360" w:lineRule="auto"/>
        <w:ind w:firstLineChars="200" w:firstLine="560"/>
        <w:rPr>
          <w:rFonts w:ascii="宋体" w:hAnsi="宋体"/>
          <w:sz w:val="28"/>
          <w:szCs w:val="28"/>
        </w:rPr>
      </w:pPr>
      <w:r w:rsidRPr="00332FD2">
        <w:rPr>
          <w:rFonts w:ascii="宋体" w:hAnsi="宋体" w:hint="eastAsia"/>
          <w:sz w:val="28"/>
          <w:szCs w:val="28"/>
        </w:rPr>
        <w:t>注：</w:t>
      </w:r>
      <w:r w:rsidRPr="00332FD2">
        <w:rPr>
          <w:rFonts w:ascii="宋体" w:hAnsi="宋体"/>
          <w:sz w:val="28"/>
          <w:szCs w:val="28"/>
        </w:rPr>
        <w:t>1</w:t>
      </w:r>
      <w:r w:rsidRPr="00332FD2">
        <w:rPr>
          <w:rFonts w:ascii="宋体" w:hAnsi="宋体" w:hint="eastAsia"/>
          <w:sz w:val="28"/>
          <w:szCs w:val="28"/>
        </w:rPr>
        <w:t>.</w:t>
      </w:r>
      <w:r w:rsidRPr="00332FD2">
        <w:rPr>
          <w:rFonts w:ascii="宋体" w:hAnsi="宋体"/>
          <w:sz w:val="28"/>
          <w:szCs w:val="28"/>
        </w:rPr>
        <w:t>GDP</w:t>
      </w:r>
      <w:r w:rsidRPr="00332FD2">
        <w:rPr>
          <w:rFonts w:ascii="宋体" w:hAnsi="宋体" w:hint="eastAsia"/>
          <w:sz w:val="28"/>
          <w:szCs w:val="28"/>
        </w:rPr>
        <w:t>和工业增加值增长速度按可比价格计算，其余指标按</w:t>
      </w:r>
      <w:r w:rsidRPr="00332FD2">
        <w:rPr>
          <w:rFonts w:ascii="宋体" w:hAnsi="宋体" w:hint="eastAsia"/>
          <w:sz w:val="28"/>
          <w:szCs w:val="28"/>
        </w:rPr>
        <w:lastRenderedPageBreak/>
        <w:t>现价计算；</w:t>
      </w:r>
    </w:p>
    <w:p w:rsidR="003F17F0" w:rsidRPr="00332FD2" w:rsidRDefault="003F17F0" w:rsidP="003F17F0">
      <w:pPr>
        <w:spacing w:line="360" w:lineRule="auto"/>
        <w:ind w:firstLineChars="400" w:firstLine="1120"/>
        <w:rPr>
          <w:rFonts w:ascii="宋体" w:hAnsi="宋体"/>
          <w:sz w:val="28"/>
          <w:szCs w:val="28"/>
        </w:rPr>
      </w:pPr>
      <w:r w:rsidRPr="00332FD2">
        <w:rPr>
          <w:rFonts w:ascii="宋体" w:hAnsi="宋体"/>
          <w:sz w:val="28"/>
          <w:szCs w:val="28"/>
        </w:rPr>
        <w:t>2</w:t>
      </w:r>
      <w:r w:rsidRPr="00332FD2">
        <w:rPr>
          <w:rFonts w:ascii="宋体" w:hAnsi="宋体" w:hint="eastAsia"/>
          <w:sz w:val="28"/>
          <w:szCs w:val="28"/>
        </w:rPr>
        <w:t>.固定资产投资指全社会固定资产投资；</w:t>
      </w:r>
    </w:p>
    <w:p w:rsidR="003F17F0" w:rsidRPr="00332FD2" w:rsidRDefault="003F17F0" w:rsidP="003F17F0">
      <w:pPr>
        <w:spacing w:line="360" w:lineRule="auto"/>
        <w:ind w:firstLineChars="400" w:firstLine="1120"/>
        <w:rPr>
          <w:rFonts w:ascii="宋体" w:hAnsi="宋体"/>
          <w:sz w:val="28"/>
          <w:szCs w:val="28"/>
        </w:rPr>
      </w:pPr>
      <w:r w:rsidRPr="00332FD2">
        <w:rPr>
          <w:rFonts w:ascii="宋体" w:hAnsi="宋体"/>
          <w:sz w:val="28"/>
          <w:szCs w:val="28"/>
        </w:rPr>
        <w:t>3</w:t>
      </w:r>
      <w:r w:rsidRPr="00332FD2">
        <w:rPr>
          <w:rFonts w:ascii="宋体" w:hAnsi="宋体" w:hint="eastAsia"/>
          <w:sz w:val="28"/>
          <w:szCs w:val="28"/>
        </w:rPr>
        <w:t>.工业增加值为国有企业和产品销售收入在</w:t>
      </w:r>
      <w:r w:rsidRPr="00332FD2">
        <w:rPr>
          <w:rFonts w:ascii="宋体" w:hAnsi="宋体"/>
          <w:sz w:val="28"/>
          <w:szCs w:val="28"/>
        </w:rPr>
        <w:t>500</w:t>
      </w:r>
      <w:r w:rsidRPr="00332FD2">
        <w:rPr>
          <w:rFonts w:ascii="宋体" w:hAnsi="宋体" w:hint="eastAsia"/>
          <w:sz w:val="28"/>
          <w:szCs w:val="28"/>
        </w:rPr>
        <w:t>万元以上的非国有企业的增加值。</w:t>
      </w:r>
    </w:p>
    <w:p w:rsidR="003F17F0" w:rsidRPr="00332FD2" w:rsidRDefault="003F17F0" w:rsidP="003F17F0">
      <w:pPr>
        <w:spacing w:line="360" w:lineRule="auto"/>
        <w:ind w:firstLineChars="400" w:firstLine="1120"/>
        <w:rPr>
          <w:rFonts w:ascii="宋体" w:hAnsi="宋体"/>
          <w:sz w:val="28"/>
          <w:szCs w:val="28"/>
        </w:rPr>
      </w:pPr>
    </w:p>
    <w:p w:rsidR="003F17F0" w:rsidRPr="00332FD2" w:rsidRDefault="003F17F0" w:rsidP="003F17F0">
      <w:pPr>
        <w:ind w:firstLine="570"/>
        <w:rPr>
          <w:sz w:val="28"/>
          <w:szCs w:val="28"/>
        </w:rPr>
      </w:pPr>
      <w:r w:rsidRPr="00332FD2">
        <w:rPr>
          <w:rFonts w:hint="eastAsia"/>
          <w:sz w:val="28"/>
          <w:szCs w:val="28"/>
        </w:rPr>
        <w:t xml:space="preserve">　　　　　　　　　　　张曙光（中国社会科学院经济所）</w:t>
      </w:r>
    </w:p>
    <w:p w:rsidR="003F17F0" w:rsidRPr="00332FD2" w:rsidRDefault="003F17F0" w:rsidP="003F17F0">
      <w:pPr>
        <w:ind w:firstLine="570"/>
        <w:rPr>
          <w:sz w:val="28"/>
          <w:szCs w:val="28"/>
        </w:rPr>
      </w:pPr>
      <w:r w:rsidRPr="00332FD2">
        <w:rPr>
          <w:rFonts w:hint="eastAsia"/>
          <w:sz w:val="28"/>
          <w:szCs w:val="28"/>
        </w:rPr>
        <w:t xml:space="preserve">　　　　　　　　　　　张　</w:t>
      </w:r>
      <w:proofErr w:type="gramStart"/>
      <w:r w:rsidRPr="00332FD2">
        <w:rPr>
          <w:rFonts w:hint="eastAsia"/>
          <w:sz w:val="28"/>
          <w:szCs w:val="28"/>
        </w:rPr>
        <w:t>弛</w:t>
      </w:r>
      <w:proofErr w:type="gramEnd"/>
      <w:r w:rsidRPr="00332FD2">
        <w:rPr>
          <w:rFonts w:hint="eastAsia"/>
          <w:sz w:val="28"/>
          <w:szCs w:val="28"/>
        </w:rPr>
        <w:t>（中国政法大学商学院）</w:t>
      </w:r>
    </w:p>
    <w:p w:rsidR="003F17F0" w:rsidRPr="00332FD2" w:rsidRDefault="003F17F0" w:rsidP="003F17F0">
      <w:pPr>
        <w:ind w:firstLineChars="1650" w:firstLine="4620"/>
        <w:rPr>
          <w:sz w:val="28"/>
          <w:szCs w:val="28"/>
        </w:rPr>
      </w:pPr>
      <w:r w:rsidRPr="00332FD2">
        <w:rPr>
          <w:rFonts w:hint="eastAsia"/>
          <w:sz w:val="28"/>
          <w:szCs w:val="28"/>
        </w:rPr>
        <w:t>2018</w:t>
      </w:r>
      <w:r w:rsidRPr="00332FD2">
        <w:rPr>
          <w:rFonts w:hint="eastAsia"/>
          <w:sz w:val="28"/>
          <w:szCs w:val="28"/>
        </w:rPr>
        <w:t>－</w:t>
      </w:r>
      <w:r w:rsidRPr="00332FD2">
        <w:rPr>
          <w:rFonts w:hint="eastAsia"/>
          <w:sz w:val="28"/>
          <w:szCs w:val="28"/>
        </w:rPr>
        <w:t>0</w:t>
      </w:r>
      <w:r>
        <w:rPr>
          <w:rFonts w:hint="eastAsia"/>
          <w:sz w:val="28"/>
          <w:szCs w:val="28"/>
        </w:rPr>
        <w:t>7</w:t>
      </w:r>
      <w:r w:rsidRPr="00332FD2">
        <w:rPr>
          <w:rFonts w:hint="eastAsia"/>
          <w:sz w:val="28"/>
          <w:szCs w:val="28"/>
        </w:rPr>
        <w:t>－</w:t>
      </w:r>
      <w:r w:rsidRPr="00332FD2">
        <w:rPr>
          <w:rFonts w:hint="eastAsia"/>
          <w:sz w:val="28"/>
          <w:szCs w:val="28"/>
        </w:rPr>
        <w:t>2</w:t>
      </w:r>
      <w:r>
        <w:rPr>
          <w:rFonts w:hint="eastAsia"/>
          <w:sz w:val="28"/>
          <w:szCs w:val="28"/>
        </w:rPr>
        <w:t>1</w:t>
      </w:r>
      <w:r w:rsidRPr="00332FD2">
        <w:rPr>
          <w:rFonts w:hint="eastAsia"/>
          <w:sz w:val="28"/>
          <w:szCs w:val="28"/>
        </w:rPr>
        <w:t>，于北京</w:t>
      </w:r>
    </w:p>
    <w:p w:rsidR="003F17F0" w:rsidRPr="00332FD2" w:rsidRDefault="003F17F0" w:rsidP="003F17F0">
      <w:pPr>
        <w:ind w:firstLine="540"/>
        <w:rPr>
          <w:sz w:val="28"/>
          <w:szCs w:val="28"/>
        </w:rPr>
      </w:pPr>
    </w:p>
    <w:p w:rsidR="003F17F0" w:rsidRPr="00332FD2" w:rsidRDefault="003F17F0" w:rsidP="003F17F0">
      <w:pPr>
        <w:ind w:firstLine="540"/>
        <w:rPr>
          <w:sz w:val="28"/>
          <w:szCs w:val="28"/>
        </w:rPr>
      </w:pPr>
    </w:p>
    <w:p w:rsidR="003F17F0" w:rsidRPr="003F17F0" w:rsidRDefault="003F17F0" w:rsidP="0019211D">
      <w:pPr>
        <w:ind w:firstLineChars="200" w:firstLine="560"/>
        <w:rPr>
          <w:sz w:val="28"/>
          <w:szCs w:val="28"/>
        </w:rPr>
      </w:pPr>
    </w:p>
    <w:p w:rsidR="008E1D30" w:rsidRPr="00061C5A" w:rsidRDefault="008E1D30" w:rsidP="00EE6D6A">
      <w:pPr>
        <w:ind w:firstLineChars="200" w:firstLine="560"/>
        <w:rPr>
          <w:sz w:val="28"/>
          <w:szCs w:val="28"/>
        </w:rPr>
      </w:pPr>
    </w:p>
    <w:sectPr w:rsidR="008E1D30" w:rsidRPr="00061C5A" w:rsidSect="00B913CF">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22A" w:rsidRDefault="00CF122A" w:rsidP="008D7822">
      <w:r>
        <w:separator/>
      </w:r>
    </w:p>
  </w:endnote>
  <w:endnote w:type="continuationSeparator" w:id="0">
    <w:p w:rsidR="00CF122A" w:rsidRDefault="00CF122A" w:rsidP="008D7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985"/>
      <w:docPartObj>
        <w:docPartGallery w:val="Page Numbers (Bottom of Page)"/>
        <w:docPartUnique/>
      </w:docPartObj>
    </w:sdtPr>
    <w:sdtContent>
      <w:sdt>
        <w:sdtPr>
          <w:id w:val="98381352"/>
          <w:docPartObj>
            <w:docPartGallery w:val="Page Numbers (Top of Page)"/>
            <w:docPartUnique/>
          </w:docPartObj>
        </w:sdtPr>
        <w:sdtContent>
          <w:p w:rsidR="00072D77" w:rsidRDefault="00072D77" w:rsidP="0067566B">
            <w:r>
              <w:rPr>
                <w:lang w:val="zh-CN"/>
              </w:rPr>
              <w:t xml:space="preserve"> </w:t>
            </w:r>
            <w:fldSimple w:instr="PAGE">
              <w:r w:rsidR="005A00B8">
                <w:rPr>
                  <w:noProof/>
                </w:rPr>
                <w:t>20</w:t>
              </w:r>
            </w:fldSimple>
            <w:r>
              <w:rPr>
                <w:lang w:val="zh-CN"/>
              </w:rPr>
              <w:t xml:space="preserve"> / </w:t>
            </w:r>
            <w:fldSimple w:instr="NUMPAGES">
              <w:r w:rsidR="005A00B8">
                <w:rPr>
                  <w:noProof/>
                </w:rPr>
                <w:t>30</w:t>
              </w:r>
            </w:fldSimple>
          </w:p>
        </w:sdtContent>
      </w:sdt>
    </w:sdtContent>
  </w:sdt>
  <w:p w:rsidR="00072D77" w:rsidRDefault="00072D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22A" w:rsidRDefault="00CF122A" w:rsidP="008D7822">
      <w:r>
        <w:separator/>
      </w:r>
    </w:p>
  </w:footnote>
  <w:footnote w:type="continuationSeparator" w:id="0">
    <w:p w:rsidR="00CF122A" w:rsidRDefault="00CF122A" w:rsidP="008D7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1DF3"/>
    <w:multiLevelType w:val="hybridMultilevel"/>
    <w:tmpl w:val="25766776"/>
    <w:lvl w:ilvl="0" w:tplc="B0D2D8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F94E04"/>
    <w:multiLevelType w:val="hybridMultilevel"/>
    <w:tmpl w:val="01CAE6E0"/>
    <w:lvl w:ilvl="0" w:tplc="2B047F1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11213F8"/>
    <w:multiLevelType w:val="hybridMultilevel"/>
    <w:tmpl w:val="51C08218"/>
    <w:lvl w:ilvl="0" w:tplc="5C92DBF8">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5B40B29"/>
    <w:multiLevelType w:val="hybridMultilevel"/>
    <w:tmpl w:val="3402ADE8"/>
    <w:lvl w:ilvl="0" w:tplc="C82AA2E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E113CC"/>
    <w:multiLevelType w:val="hybridMultilevel"/>
    <w:tmpl w:val="8C2633CE"/>
    <w:lvl w:ilvl="0" w:tplc="96ACC4F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7822"/>
    <w:rsid w:val="000009FC"/>
    <w:rsid w:val="00000C4F"/>
    <w:rsid w:val="00001008"/>
    <w:rsid w:val="0000268C"/>
    <w:rsid w:val="0000277B"/>
    <w:rsid w:val="000029A5"/>
    <w:rsid w:val="00002CF2"/>
    <w:rsid w:val="00003189"/>
    <w:rsid w:val="0000394F"/>
    <w:rsid w:val="00004915"/>
    <w:rsid w:val="000062E2"/>
    <w:rsid w:val="00006A2A"/>
    <w:rsid w:val="00007D00"/>
    <w:rsid w:val="0001253C"/>
    <w:rsid w:val="00012910"/>
    <w:rsid w:val="00014072"/>
    <w:rsid w:val="000141C0"/>
    <w:rsid w:val="000142CB"/>
    <w:rsid w:val="00014C01"/>
    <w:rsid w:val="00015982"/>
    <w:rsid w:val="00015FB8"/>
    <w:rsid w:val="00016B43"/>
    <w:rsid w:val="000176AE"/>
    <w:rsid w:val="00017EE2"/>
    <w:rsid w:val="0002051D"/>
    <w:rsid w:val="000208D1"/>
    <w:rsid w:val="0002122D"/>
    <w:rsid w:val="0002138B"/>
    <w:rsid w:val="000218DC"/>
    <w:rsid w:val="000225D5"/>
    <w:rsid w:val="00022F18"/>
    <w:rsid w:val="00023255"/>
    <w:rsid w:val="00023909"/>
    <w:rsid w:val="00023B68"/>
    <w:rsid w:val="000242B9"/>
    <w:rsid w:val="00024FC8"/>
    <w:rsid w:val="000269BB"/>
    <w:rsid w:val="00027729"/>
    <w:rsid w:val="00030076"/>
    <w:rsid w:val="00030F3D"/>
    <w:rsid w:val="00031063"/>
    <w:rsid w:val="00031235"/>
    <w:rsid w:val="0003143C"/>
    <w:rsid w:val="00031A69"/>
    <w:rsid w:val="0003277A"/>
    <w:rsid w:val="0003288F"/>
    <w:rsid w:val="00033B50"/>
    <w:rsid w:val="00034322"/>
    <w:rsid w:val="00035233"/>
    <w:rsid w:val="00036B39"/>
    <w:rsid w:val="00037124"/>
    <w:rsid w:val="00037880"/>
    <w:rsid w:val="00037DF4"/>
    <w:rsid w:val="0004089D"/>
    <w:rsid w:val="0004157A"/>
    <w:rsid w:val="00041740"/>
    <w:rsid w:val="00041DD9"/>
    <w:rsid w:val="00042753"/>
    <w:rsid w:val="00042908"/>
    <w:rsid w:val="00042941"/>
    <w:rsid w:val="00042DCD"/>
    <w:rsid w:val="0004376C"/>
    <w:rsid w:val="00043C67"/>
    <w:rsid w:val="00044383"/>
    <w:rsid w:val="00045888"/>
    <w:rsid w:val="00045F84"/>
    <w:rsid w:val="000467C2"/>
    <w:rsid w:val="00046A5D"/>
    <w:rsid w:val="00046EB8"/>
    <w:rsid w:val="0004734A"/>
    <w:rsid w:val="000512FE"/>
    <w:rsid w:val="00051629"/>
    <w:rsid w:val="00051775"/>
    <w:rsid w:val="00051CE9"/>
    <w:rsid w:val="0005240D"/>
    <w:rsid w:val="000529F9"/>
    <w:rsid w:val="00052B99"/>
    <w:rsid w:val="00053AD6"/>
    <w:rsid w:val="0005453D"/>
    <w:rsid w:val="000545A5"/>
    <w:rsid w:val="00055034"/>
    <w:rsid w:val="00055319"/>
    <w:rsid w:val="00056942"/>
    <w:rsid w:val="00057188"/>
    <w:rsid w:val="00057B07"/>
    <w:rsid w:val="00057B94"/>
    <w:rsid w:val="000600DC"/>
    <w:rsid w:val="00061621"/>
    <w:rsid w:val="00061C5A"/>
    <w:rsid w:val="00061D2E"/>
    <w:rsid w:val="00063281"/>
    <w:rsid w:val="000632EF"/>
    <w:rsid w:val="000633E3"/>
    <w:rsid w:val="00063AC3"/>
    <w:rsid w:val="0006466D"/>
    <w:rsid w:val="00066497"/>
    <w:rsid w:val="00066612"/>
    <w:rsid w:val="00066D94"/>
    <w:rsid w:val="0006716B"/>
    <w:rsid w:val="00067245"/>
    <w:rsid w:val="000674B4"/>
    <w:rsid w:val="00067507"/>
    <w:rsid w:val="0006750E"/>
    <w:rsid w:val="00067C5C"/>
    <w:rsid w:val="00067E14"/>
    <w:rsid w:val="00070A48"/>
    <w:rsid w:val="00072D77"/>
    <w:rsid w:val="000732CF"/>
    <w:rsid w:val="000744F8"/>
    <w:rsid w:val="000751AB"/>
    <w:rsid w:val="0007650E"/>
    <w:rsid w:val="00076CDB"/>
    <w:rsid w:val="0008020B"/>
    <w:rsid w:val="0008034D"/>
    <w:rsid w:val="00080A30"/>
    <w:rsid w:val="00080DD0"/>
    <w:rsid w:val="00080F5E"/>
    <w:rsid w:val="000815DD"/>
    <w:rsid w:val="0008179D"/>
    <w:rsid w:val="000817C0"/>
    <w:rsid w:val="00081973"/>
    <w:rsid w:val="00081DAD"/>
    <w:rsid w:val="00083376"/>
    <w:rsid w:val="00083D7F"/>
    <w:rsid w:val="00083FD4"/>
    <w:rsid w:val="00084108"/>
    <w:rsid w:val="00084426"/>
    <w:rsid w:val="00084560"/>
    <w:rsid w:val="0008480D"/>
    <w:rsid w:val="0008493F"/>
    <w:rsid w:val="00084A00"/>
    <w:rsid w:val="00084D0F"/>
    <w:rsid w:val="000855A9"/>
    <w:rsid w:val="000855AB"/>
    <w:rsid w:val="00085BB2"/>
    <w:rsid w:val="00085D47"/>
    <w:rsid w:val="0008649F"/>
    <w:rsid w:val="00086703"/>
    <w:rsid w:val="0008780D"/>
    <w:rsid w:val="0009082E"/>
    <w:rsid w:val="00090F4C"/>
    <w:rsid w:val="000916D4"/>
    <w:rsid w:val="00091C9A"/>
    <w:rsid w:val="00091D67"/>
    <w:rsid w:val="000924B1"/>
    <w:rsid w:val="00092C61"/>
    <w:rsid w:val="00092EF9"/>
    <w:rsid w:val="000938EB"/>
    <w:rsid w:val="00093E79"/>
    <w:rsid w:val="00094307"/>
    <w:rsid w:val="000947D2"/>
    <w:rsid w:val="00095F17"/>
    <w:rsid w:val="000969B4"/>
    <w:rsid w:val="00097618"/>
    <w:rsid w:val="000979D0"/>
    <w:rsid w:val="00097DAC"/>
    <w:rsid w:val="000A0257"/>
    <w:rsid w:val="000A07CD"/>
    <w:rsid w:val="000A0A0F"/>
    <w:rsid w:val="000A1170"/>
    <w:rsid w:val="000A1661"/>
    <w:rsid w:val="000A1DEC"/>
    <w:rsid w:val="000A21B7"/>
    <w:rsid w:val="000A3026"/>
    <w:rsid w:val="000A3ACA"/>
    <w:rsid w:val="000A3BAC"/>
    <w:rsid w:val="000A4A76"/>
    <w:rsid w:val="000A6140"/>
    <w:rsid w:val="000A6196"/>
    <w:rsid w:val="000A6A32"/>
    <w:rsid w:val="000A6B2C"/>
    <w:rsid w:val="000A6B8F"/>
    <w:rsid w:val="000A74FE"/>
    <w:rsid w:val="000B06C1"/>
    <w:rsid w:val="000B0D67"/>
    <w:rsid w:val="000B14E2"/>
    <w:rsid w:val="000B1715"/>
    <w:rsid w:val="000B1EE4"/>
    <w:rsid w:val="000B27F6"/>
    <w:rsid w:val="000B307B"/>
    <w:rsid w:val="000B3A54"/>
    <w:rsid w:val="000B3B91"/>
    <w:rsid w:val="000B3E85"/>
    <w:rsid w:val="000B418B"/>
    <w:rsid w:val="000B4744"/>
    <w:rsid w:val="000B4E03"/>
    <w:rsid w:val="000B4E1A"/>
    <w:rsid w:val="000B4EB2"/>
    <w:rsid w:val="000B528D"/>
    <w:rsid w:val="000B5321"/>
    <w:rsid w:val="000B5558"/>
    <w:rsid w:val="000B65A2"/>
    <w:rsid w:val="000B68E1"/>
    <w:rsid w:val="000B6BE7"/>
    <w:rsid w:val="000B6F56"/>
    <w:rsid w:val="000B6F81"/>
    <w:rsid w:val="000B701D"/>
    <w:rsid w:val="000B7628"/>
    <w:rsid w:val="000B769F"/>
    <w:rsid w:val="000B7816"/>
    <w:rsid w:val="000C0207"/>
    <w:rsid w:val="000C0534"/>
    <w:rsid w:val="000C05FF"/>
    <w:rsid w:val="000C0B19"/>
    <w:rsid w:val="000C18E6"/>
    <w:rsid w:val="000C195C"/>
    <w:rsid w:val="000C198E"/>
    <w:rsid w:val="000C1F87"/>
    <w:rsid w:val="000C218D"/>
    <w:rsid w:val="000C31C0"/>
    <w:rsid w:val="000C34F0"/>
    <w:rsid w:val="000C3AD7"/>
    <w:rsid w:val="000C3D7C"/>
    <w:rsid w:val="000C47A3"/>
    <w:rsid w:val="000C47D5"/>
    <w:rsid w:val="000C5605"/>
    <w:rsid w:val="000C5749"/>
    <w:rsid w:val="000C5F84"/>
    <w:rsid w:val="000C6110"/>
    <w:rsid w:val="000C620D"/>
    <w:rsid w:val="000C70B5"/>
    <w:rsid w:val="000C7412"/>
    <w:rsid w:val="000C765C"/>
    <w:rsid w:val="000C7E3A"/>
    <w:rsid w:val="000D10BF"/>
    <w:rsid w:val="000D1255"/>
    <w:rsid w:val="000D1BB6"/>
    <w:rsid w:val="000D2151"/>
    <w:rsid w:val="000D2959"/>
    <w:rsid w:val="000D2D98"/>
    <w:rsid w:val="000D2E94"/>
    <w:rsid w:val="000D3108"/>
    <w:rsid w:val="000D38DD"/>
    <w:rsid w:val="000D3C75"/>
    <w:rsid w:val="000D429A"/>
    <w:rsid w:val="000D47B5"/>
    <w:rsid w:val="000D4939"/>
    <w:rsid w:val="000D571B"/>
    <w:rsid w:val="000D583B"/>
    <w:rsid w:val="000D5DB7"/>
    <w:rsid w:val="000D686E"/>
    <w:rsid w:val="000D6BCB"/>
    <w:rsid w:val="000D7E2D"/>
    <w:rsid w:val="000E005C"/>
    <w:rsid w:val="000E0C82"/>
    <w:rsid w:val="000E1626"/>
    <w:rsid w:val="000E1A3C"/>
    <w:rsid w:val="000E1F57"/>
    <w:rsid w:val="000E2DF1"/>
    <w:rsid w:val="000E3CE0"/>
    <w:rsid w:val="000E3F88"/>
    <w:rsid w:val="000E3F8E"/>
    <w:rsid w:val="000E4BAA"/>
    <w:rsid w:val="000E5B32"/>
    <w:rsid w:val="000E6245"/>
    <w:rsid w:val="000E66ED"/>
    <w:rsid w:val="000E6C9C"/>
    <w:rsid w:val="000E7344"/>
    <w:rsid w:val="000F01D5"/>
    <w:rsid w:val="000F14D8"/>
    <w:rsid w:val="000F19B9"/>
    <w:rsid w:val="000F1AB4"/>
    <w:rsid w:val="000F1B17"/>
    <w:rsid w:val="000F2BC9"/>
    <w:rsid w:val="000F30D5"/>
    <w:rsid w:val="000F33E1"/>
    <w:rsid w:val="000F4036"/>
    <w:rsid w:val="000F4053"/>
    <w:rsid w:val="000F4947"/>
    <w:rsid w:val="000F4F55"/>
    <w:rsid w:val="000F585A"/>
    <w:rsid w:val="000F5B51"/>
    <w:rsid w:val="000F611D"/>
    <w:rsid w:val="000F7160"/>
    <w:rsid w:val="000F7745"/>
    <w:rsid w:val="000F7988"/>
    <w:rsid w:val="000F7A86"/>
    <w:rsid w:val="000F7E88"/>
    <w:rsid w:val="000F7FC4"/>
    <w:rsid w:val="00100712"/>
    <w:rsid w:val="00100718"/>
    <w:rsid w:val="00100AD0"/>
    <w:rsid w:val="001013E3"/>
    <w:rsid w:val="001013FE"/>
    <w:rsid w:val="001020B9"/>
    <w:rsid w:val="0010289A"/>
    <w:rsid w:val="001028A8"/>
    <w:rsid w:val="00102E07"/>
    <w:rsid w:val="00102E63"/>
    <w:rsid w:val="0010377D"/>
    <w:rsid w:val="001049C2"/>
    <w:rsid w:val="00104C47"/>
    <w:rsid w:val="0010567D"/>
    <w:rsid w:val="001069C8"/>
    <w:rsid w:val="00106D91"/>
    <w:rsid w:val="00107150"/>
    <w:rsid w:val="00107388"/>
    <w:rsid w:val="00107D87"/>
    <w:rsid w:val="00110400"/>
    <w:rsid w:val="00110EAD"/>
    <w:rsid w:val="001114BE"/>
    <w:rsid w:val="00111D82"/>
    <w:rsid w:val="00111F40"/>
    <w:rsid w:val="00112370"/>
    <w:rsid w:val="00112B17"/>
    <w:rsid w:val="001136A6"/>
    <w:rsid w:val="00114312"/>
    <w:rsid w:val="001144BA"/>
    <w:rsid w:val="001147AC"/>
    <w:rsid w:val="00114BB5"/>
    <w:rsid w:val="00114E41"/>
    <w:rsid w:val="00115883"/>
    <w:rsid w:val="00116F5D"/>
    <w:rsid w:val="00117474"/>
    <w:rsid w:val="001174BB"/>
    <w:rsid w:val="00117605"/>
    <w:rsid w:val="00117772"/>
    <w:rsid w:val="00117C84"/>
    <w:rsid w:val="0012037A"/>
    <w:rsid w:val="0012180B"/>
    <w:rsid w:val="001228A6"/>
    <w:rsid w:val="001229CC"/>
    <w:rsid w:val="001233EE"/>
    <w:rsid w:val="0012360C"/>
    <w:rsid w:val="0012465A"/>
    <w:rsid w:val="001248C1"/>
    <w:rsid w:val="00125575"/>
    <w:rsid w:val="00125A32"/>
    <w:rsid w:val="00125E9F"/>
    <w:rsid w:val="00126D86"/>
    <w:rsid w:val="00127470"/>
    <w:rsid w:val="0012754D"/>
    <w:rsid w:val="001276FB"/>
    <w:rsid w:val="00127A32"/>
    <w:rsid w:val="00127E1D"/>
    <w:rsid w:val="001304AB"/>
    <w:rsid w:val="001305B5"/>
    <w:rsid w:val="00130640"/>
    <w:rsid w:val="001313AD"/>
    <w:rsid w:val="0013180C"/>
    <w:rsid w:val="00131C06"/>
    <w:rsid w:val="00131DE4"/>
    <w:rsid w:val="001329D6"/>
    <w:rsid w:val="00132FCF"/>
    <w:rsid w:val="001340FC"/>
    <w:rsid w:val="00134351"/>
    <w:rsid w:val="00134F35"/>
    <w:rsid w:val="00135E06"/>
    <w:rsid w:val="00136718"/>
    <w:rsid w:val="0013672F"/>
    <w:rsid w:val="00137508"/>
    <w:rsid w:val="001378F1"/>
    <w:rsid w:val="0014029C"/>
    <w:rsid w:val="00140855"/>
    <w:rsid w:val="00140A97"/>
    <w:rsid w:val="00140ACD"/>
    <w:rsid w:val="0014128A"/>
    <w:rsid w:val="00141587"/>
    <w:rsid w:val="001421C8"/>
    <w:rsid w:val="00142668"/>
    <w:rsid w:val="00142DFA"/>
    <w:rsid w:val="00144180"/>
    <w:rsid w:val="0014454B"/>
    <w:rsid w:val="00144B19"/>
    <w:rsid w:val="00145435"/>
    <w:rsid w:val="00145552"/>
    <w:rsid w:val="00145C91"/>
    <w:rsid w:val="0015083D"/>
    <w:rsid w:val="001519A0"/>
    <w:rsid w:val="00151B8C"/>
    <w:rsid w:val="00151D0F"/>
    <w:rsid w:val="00152CE8"/>
    <w:rsid w:val="00153850"/>
    <w:rsid w:val="00153DB3"/>
    <w:rsid w:val="00154DC6"/>
    <w:rsid w:val="001552ED"/>
    <w:rsid w:val="0015581D"/>
    <w:rsid w:val="00155E83"/>
    <w:rsid w:val="00156A3A"/>
    <w:rsid w:val="00160A5C"/>
    <w:rsid w:val="00160C19"/>
    <w:rsid w:val="00161224"/>
    <w:rsid w:val="00161ABF"/>
    <w:rsid w:val="001626BB"/>
    <w:rsid w:val="00162BD3"/>
    <w:rsid w:val="00162DD1"/>
    <w:rsid w:val="00163D2E"/>
    <w:rsid w:val="00163F82"/>
    <w:rsid w:val="001644E7"/>
    <w:rsid w:val="00164F4F"/>
    <w:rsid w:val="0016509E"/>
    <w:rsid w:val="001658D0"/>
    <w:rsid w:val="001663A8"/>
    <w:rsid w:val="00167C15"/>
    <w:rsid w:val="00167F67"/>
    <w:rsid w:val="00171530"/>
    <w:rsid w:val="001715F4"/>
    <w:rsid w:val="00171D0F"/>
    <w:rsid w:val="001721C5"/>
    <w:rsid w:val="001725E7"/>
    <w:rsid w:val="001727CD"/>
    <w:rsid w:val="00172D8C"/>
    <w:rsid w:val="00172EDE"/>
    <w:rsid w:val="00173816"/>
    <w:rsid w:val="00174D27"/>
    <w:rsid w:val="00175241"/>
    <w:rsid w:val="00175A12"/>
    <w:rsid w:val="001764F6"/>
    <w:rsid w:val="00177EA0"/>
    <w:rsid w:val="00180574"/>
    <w:rsid w:val="001811C4"/>
    <w:rsid w:val="00181B10"/>
    <w:rsid w:val="0018208F"/>
    <w:rsid w:val="00182E27"/>
    <w:rsid w:val="0018451E"/>
    <w:rsid w:val="001849B6"/>
    <w:rsid w:val="00184A98"/>
    <w:rsid w:val="00184DB8"/>
    <w:rsid w:val="001850A0"/>
    <w:rsid w:val="0018566F"/>
    <w:rsid w:val="001866A6"/>
    <w:rsid w:val="001866DD"/>
    <w:rsid w:val="00186B43"/>
    <w:rsid w:val="00187189"/>
    <w:rsid w:val="001877AF"/>
    <w:rsid w:val="001877EA"/>
    <w:rsid w:val="00187D7B"/>
    <w:rsid w:val="00187D9C"/>
    <w:rsid w:val="00187DF8"/>
    <w:rsid w:val="001906A0"/>
    <w:rsid w:val="001917FB"/>
    <w:rsid w:val="0019211D"/>
    <w:rsid w:val="00192A71"/>
    <w:rsid w:val="0019302E"/>
    <w:rsid w:val="00193540"/>
    <w:rsid w:val="00193DD7"/>
    <w:rsid w:val="00195BF9"/>
    <w:rsid w:val="00195C99"/>
    <w:rsid w:val="00196116"/>
    <w:rsid w:val="001962E4"/>
    <w:rsid w:val="00196C11"/>
    <w:rsid w:val="00196EEE"/>
    <w:rsid w:val="001A012E"/>
    <w:rsid w:val="001A0156"/>
    <w:rsid w:val="001A0617"/>
    <w:rsid w:val="001A110F"/>
    <w:rsid w:val="001A121C"/>
    <w:rsid w:val="001A176D"/>
    <w:rsid w:val="001A204D"/>
    <w:rsid w:val="001A22AC"/>
    <w:rsid w:val="001A28D4"/>
    <w:rsid w:val="001A3806"/>
    <w:rsid w:val="001A3FDC"/>
    <w:rsid w:val="001A4229"/>
    <w:rsid w:val="001A4572"/>
    <w:rsid w:val="001A4E59"/>
    <w:rsid w:val="001A522B"/>
    <w:rsid w:val="001A59CE"/>
    <w:rsid w:val="001A6387"/>
    <w:rsid w:val="001A74B9"/>
    <w:rsid w:val="001A7854"/>
    <w:rsid w:val="001A7B8E"/>
    <w:rsid w:val="001A7BA3"/>
    <w:rsid w:val="001B0206"/>
    <w:rsid w:val="001B0651"/>
    <w:rsid w:val="001B0A0A"/>
    <w:rsid w:val="001B2E61"/>
    <w:rsid w:val="001B3D46"/>
    <w:rsid w:val="001B3D77"/>
    <w:rsid w:val="001B4935"/>
    <w:rsid w:val="001B5305"/>
    <w:rsid w:val="001B5C93"/>
    <w:rsid w:val="001B5F18"/>
    <w:rsid w:val="001B6186"/>
    <w:rsid w:val="001B7007"/>
    <w:rsid w:val="001B7686"/>
    <w:rsid w:val="001C01EC"/>
    <w:rsid w:val="001C112D"/>
    <w:rsid w:val="001C2271"/>
    <w:rsid w:val="001C2628"/>
    <w:rsid w:val="001C2979"/>
    <w:rsid w:val="001C2FD1"/>
    <w:rsid w:val="001C34DC"/>
    <w:rsid w:val="001C39FC"/>
    <w:rsid w:val="001C3B35"/>
    <w:rsid w:val="001C4462"/>
    <w:rsid w:val="001C55B7"/>
    <w:rsid w:val="001C57EB"/>
    <w:rsid w:val="001C5A77"/>
    <w:rsid w:val="001C60FA"/>
    <w:rsid w:val="001C6544"/>
    <w:rsid w:val="001C655B"/>
    <w:rsid w:val="001C74A3"/>
    <w:rsid w:val="001C75F1"/>
    <w:rsid w:val="001C7FD3"/>
    <w:rsid w:val="001D00C7"/>
    <w:rsid w:val="001D1688"/>
    <w:rsid w:val="001D1785"/>
    <w:rsid w:val="001D1C3C"/>
    <w:rsid w:val="001D200A"/>
    <w:rsid w:val="001D243C"/>
    <w:rsid w:val="001D2B9C"/>
    <w:rsid w:val="001D37FF"/>
    <w:rsid w:val="001D3F04"/>
    <w:rsid w:val="001D4302"/>
    <w:rsid w:val="001D4B47"/>
    <w:rsid w:val="001D4B52"/>
    <w:rsid w:val="001D4DEF"/>
    <w:rsid w:val="001D4EB8"/>
    <w:rsid w:val="001D6291"/>
    <w:rsid w:val="001D71DD"/>
    <w:rsid w:val="001E047C"/>
    <w:rsid w:val="001E08B0"/>
    <w:rsid w:val="001E09C3"/>
    <w:rsid w:val="001E0AF8"/>
    <w:rsid w:val="001E2672"/>
    <w:rsid w:val="001E3002"/>
    <w:rsid w:val="001E318D"/>
    <w:rsid w:val="001E3A6C"/>
    <w:rsid w:val="001E4269"/>
    <w:rsid w:val="001E4CEE"/>
    <w:rsid w:val="001E556F"/>
    <w:rsid w:val="001E5B86"/>
    <w:rsid w:val="001E5D0A"/>
    <w:rsid w:val="001E7D40"/>
    <w:rsid w:val="001F0520"/>
    <w:rsid w:val="001F0CE0"/>
    <w:rsid w:val="001F150C"/>
    <w:rsid w:val="001F1875"/>
    <w:rsid w:val="001F1CDB"/>
    <w:rsid w:val="001F1D11"/>
    <w:rsid w:val="001F1EB6"/>
    <w:rsid w:val="001F1FA7"/>
    <w:rsid w:val="001F1FC4"/>
    <w:rsid w:val="001F27E7"/>
    <w:rsid w:val="001F3288"/>
    <w:rsid w:val="001F3454"/>
    <w:rsid w:val="001F3A11"/>
    <w:rsid w:val="001F3AE5"/>
    <w:rsid w:val="001F414B"/>
    <w:rsid w:val="001F42ED"/>
    <w:rsid w:val="001F63BC"/>
    <w:rsid w:val="001F7A3A"/>
    <w:rsid w:val="001F7B88"/>
    <w:rsid w:val="001F7F3C"/>
    <w:rsid w:val="00200659"/>
    <w:rsid w:val="00200DD2"/>
    <w:rsid w:val="002017E7"/>
    <w:rsid w:val="00202A10"/>
    <w:rsid w:val="002036EC"/>
    <w:rsid w:val="0020406A"/>
    <w:rsid w:val="00204D65"/>
    <w:rsid w:val="00204FDC"/>
    <w:rsid w:val="0020539E"/>
    <w:rsid w:val="002054E7"/>
    <w:rsid w:val="00206C4F"/>
    <w:rsid w:val="00206C57"/>
    <w:rsid w:val="00207438"/>
    <w:rsid w:val="00207666"/>
    <w:rsid w:val="00207B2D"/>
    <w:rsid w:val="002117A9"/>
    <w:rsid w:val="00212645"/>
    <w:rsid w:val="00212C98"/>
    <w:rsid w:val="00213592"/>
    <w:rsid w:val="00213732"/>
    <w:rsid w:val="002138AA"/>
    <w:rsid w:val="00213A1F"/>
    <w:rsid w:val="002143A7"/>
    <w:rsid w:val="0021486B"/>
    <w:rsid w:val="00215239"/>
    <w:rsid w:val="00215351"/>
    <w:rsid w:val="00215889"/>
    <w:rsid w:val="00216520"/>
    <w:rsid w:val="00216C1E"/>
    <w:rsid w:val="00216EED"/>
    <w:rsid w:val="00217C2D"/>
    <w:rsid w:val="00220031"/>
    <w:rsid w:val="00220439"/>
    <w:rsid w:val="00220ECC"/>
    <w:rsid w:val="00221643"/>
    <w:rsid w:val="00221759"/>
    <w:rsid w:val="00221AFE"/>
    <w:rsid w:val="00222D25"/>
    <w:rsid w:val="00223BCC"/>
    <w:rsid w:val="002243AA"/>
    <w:rsid w:val="00224B40"/>
    <w:rsid w:val="0022514F"/>
    <w:rsid w:val="002253AF"/>
    <w:rsid w:val="002259D9"/>
    <w:rsid w:val="00226659"/>
    <w:rsid w:val="002273BE"/>
    <w:rsid w:val="0022745B"/>
    <w:rsid w:val="00230DE6"/>
    <w:rsid w:val="002318AB"/>
    <w:rsid w:val="00231A4F"/>
    <w:rsid w:val="0023262E"/>
    <w:rsid w:val="00232DF4"/>
    <w:rsid w:val="00233554"/>
    <w:rsid w:val="002336D3"/>
    <w:rsid w:val="00234918"/>
    <w:rsid w:val="00234CBC"/>
    <w:rsid w:val="00234CCF"/>
    <w:rsid w:val="00236BB1"/>
    <w:rsid w:val="00237EE9"/>
    <w:rsid w:val="00240276"/>
    <w:rsid w:val="00240495"/>
    <w:rsid w:val="00241AB7"/>
    <w:rsid w:val="00241C15"/>
    <w:rsid w:val="00241FE9"/>
    <w:rsid w:val="00242161"/>
    <w:rsid w:val="00242662"/>
    <w:rsid w:val="00242D55"/>
    <w:rsid w:val="0024436E"/>
    <w:rsid w:val="00244A12"/>
    <w:rsid w:val="002457A5"/>
    <w:rsid w:val="00245898"/>
    <w:rsid w:val="00245EA0"/>
    <w:rsid w:val="00245F15"/>
    <w:rsid w:val="002461AF"/>
    <w:rsid w:val="0024641F"/>
    <w:rsid w:val="00246DFE"/>
    <w:rsid w:val="00246E75"/>
    <w:rsid w:val="002476A9"/>
    <w:rsid w:val="00247830"/>
    <w:rsid w:val="00247E10"/>
    <w:rsid w:val="00250665"/>
    <w:rsid w:val="002509E9"/>
    <w:rsid w:val="00250BBA"/>
    <w:rsid w:val="00250D0E"/>
    <w:rsid w:val="00251139"/>
    <w:rsid w:val="00251617"/>
    <w:rsid w:val="00251A89"/>
    <w:rsid w:val="00251D65"/>
    <w:rsid w:val="00252232"/>
    <w:rsid w:val="0025229A"/>
    <w:rsid w:val="002526F1"/>
    <w:rsid w:val="00252766"/>
    <w:rsid w:val="00252992"/>
    <w:rsid w:val="00252B40"/>
    <w:rsid w:val="00254859"/>
    <w:rsid w:val="00255B0A"/>
    <w:rsid w:val="00256E8A"/>
    <w:rsid w:val="00260512"/>
    <w:rsid w:val="00260B48"/>
    <w:rsid w:val="00261BDC"/>
    <w:rsid w:val="002622AA"/>
    <w:rsid w:val="0026266B"/>
    <w:rsid w:val="00262B75"/>
    <w:rsid w:val="00262D1A"/>
    <w:rsid w:val="00262F63"/>
    <w:rsid w:val="002635CF"/>
    <w:rsid w:val="00263760"/>
    <w:rsid w:val="00263AAF"/>
    <w:rsid w:val="00263FD1"/>
    <w:rsid w:val="002647C5"/>
    <w:rsid w:val="00264D3D"/>
    <w:rsid w:val="002665E5"/>
    <w:rsid w:val="00266F57"/>
    <w:rsid w:val="00267274"/>
    <w:rsid w:val="00270833"/>
    <w:rsid w:val="00270938"/>
    <w:rsid w:val="00270DA3"/>
    <w:rsid w:val="002712C8"/>
    <w:rsid w:val="0027164C"/>
    <w:rsid w:val="00271AA1"/>
    <w:rsid w:val="00272E33"/>
    <w:rsid w:val="00273790"/>
    <w:rsid w:val="002739E4"/>
    <w:rsid w:val="00274085"/>
    <w:rsid w:val="00274134"/>
    <w:rsid w:val="00274265"/>
    <w:rsid w:val="0027456B"/>
    <w:rsid w:val="002745E0"/>
    <w:rsid w:val="00274E03"/>
    <w:rsid w:val="0027544D"/>
    <w:rsid w:val="00275C43"/>
    <w:rsid w:val="00276606"/>
    <w:rsid w:val="00276A63"/>
    <w:rsid w:val="00276D9D"/>
    <w:rsid w:val="00277905"/>
    <w:rsid w:val="0028043E"/>
    <w:rsid w:val="002814F9"/>
    <w:rsid w:val="002821DE"/>
    <w:rsid w:val="00283072"/>
    <w:rsid w:val="00283601"/>
    <w:rsid w:val="00283C1B"/>
    <w:rsid w:val="00283CC4"/>
    <w:rsid w:val="00284ECF"/>
    <w:rsid w:val="002855B6"/>
    <w:rsid w:val="002855E1"/>
    <w:rsid w:val="00285AE8"/>
    <w:rsid w:val="00285AEB"/>
    <w:rsid w:val="00285D8F"/>
    <w:rsid w:val="0028687D"/>
    <w:rsid w:val="002870A4"/>
    <w:rsid w:val="00287573"/>
    <w:rsid w:val="0029135B"/>
    <w:rsid w:val="00291478"/>
    <w:rsid w:val="002923EC"/>
    <w:rsid w:val="002924D3"/>
    <w:rsid w:val="002925BF"/>
    <w:rsid w:val="00292AB2"/>
    <w:rsid w:val="00293446"/>
    <w:rsid w:val="002935A3"/>
    <w:rsid w:val="002946EC"/>
    <w:rsid w:val="00294D6B"/>
    <w:rsid w:val="002952FB"/>
    <w:rsid w:val="002954D9"/>
    <w:rsid w:val="002957E4"/>
    <w:rsid w:val="00295B2B"/>
    <w:rsid w:val="00296AEC"/>
    <w:rsid w:val="00297299"/>
    <w:rsid w:val="00297F12"/>
    <w:rsid w:val="002A0E45"/>
    <w:rsid w:val="002A1138"/>
    <w:rsid w:val="002A17F3"/>
    <w:rsid w:val="002A1A62"/>
    <w:rsid w:val="002A1AC5"/>
    <w:rsid w:val="002A24A1"/>
    <w:rsid w:val="002A28A6"/>
    <w:rsid w:val="002A2B5E"/>
    <w:rsid w:val="002A2CBD"/>
    <w:rsid w:val="002A2F1B"/>
    <w:rsid w:val="002A35A4"/>
    <w:rsid w:val="002A3962"/>
    <w:rsid w:val="002A411B"/>
    <w:rsid w:val="002A57BE"/>
    <w:rsid w:val="002A5EDA"/>
    <w:rsid w:val="002A601F"/>
    <w:rsid w:val="002A6E50"/>
    <w:rsid w:val="002A7A5F"/>
    <w:rsid w:val="002A7BB7"/>
    <w:rsid w:val="002B055D"/>
    <w:rsid w:val="002B0C95"/>
    <w:rsid w:val="002B16A7"/>
    <w:rsid w:val="002B1701"/>
    <w:rsid w:val="002B18CF"/>
    <w:rsid w:val="002B1EEF"/>
    <w:rsid w:val="002B1FE2"/>
    <w:rsid w:val="002B206D"/>
    <w:rsid w:val="002B2B2E"/>
    <w:rsid w:val="002B4872"/>
    <w:rsid w:val="002B500D"/>
    <w:rsid w:val="002B5670"/>
    <w:rsid w:val="002B5E1E"/>
    <w:rsid w:val="002B60CF"/>
    <w:rsid w:val="002B6AC8"/>
    <w:rsid w:val="002B6CC7"/>
    <w:rsid w:val="002B6E66"/>
    <w:rsid w:val="002C0529"/>
    <w:rsid w:val="002C0B90"/>
    <w:rsid w:val="002C0D84"/>
    <w:rsid w:val="002C0EA7"/>
    <w:rsid w:val="002C1357"/>
    <w:rsid w:val="002C1561"/>
    <w:rsid w:val="002C1A28"/>
    <w:rsid w:val="002C1A5F"/>
    <w:rsid w:val="002C236F"/>
    <w:rsid w:val="002C272B"/>
    <w:rsid w:val="002C2ADB"/>
    <w:rsid w:val="002C3C80"/>
    <w:rsid w:val="002C3D72"/>
    <w:rsid w:val="002C4543"/>
    <w:rsid w:val="002C4562"/>
    <w:rsid w:val="002C5B2B"/>
    <w:rsid w:val="002C5F81"/>
    <w:rsid w:val="002C63B1"/>
    <w:rsid w:val="002C74E0"/>
    <w:rsid w:val="002C7740"/>
    <w:rsid w:val="002C7A5E"/>
    <w:rsid w:val="002C7CF0"/>
    <w:rsid w:val="002D005C"/>
    <w:rsid w:val="002D0099"/>
    <w:rsid w:val="002D2CB2"/>
    <w:rsid w:val="002D3D85"/>
    <w:rsid w:val="002D48C0"/>
    <w:rsid w:val="002D4E8C"/>
    <w:rsid w:val="002D57C2"/>
    <w:rsid w:val="002D63E5"/>
    <w:rsid w:val="002D703C"/>
    <w:rsid w:val="002D75DE"/>
    <w:rsid w:val="002E0159"/>
    <w:rsid w:val="002E018F"/>
    <w:rsid w:val="002E06DF"/>
    <w:rsid w:val="002E09C0"/>
    <w:rsid w:val="002E13E4"/>
    <w:rsid w:val="002E1BF1"/>
    <w:rsid w:val="002E2BFF"/>
    <w:rsid w:val="002E2C40"/>
    <w:rsid w:val="002E2E46"/>
    <w:rsid w:val="002E2E7C"/>
    <w:rsid w:val="002E2EBA"/>
    <w:rsid w:val="002E4626"/>
    <w:rsid w:val="002E46E6"/>
    <w:rsid w:val="002E4789"/>
    <w:rsid w:val="002E5DB2"/>
    <w:rsid w:val="002E5F8D"/>
    <w:rsid w:val="002E60A4"/>
    <w:rsid w:val="002E632E"/>
    <w:rsid w:val="002E6CD4"/>
    <w:rsid w:val="002E7C29"/>
    <w:rsid w:val="002F1742"/>
    <w:rsid w:val="002F1E53"/>
    <w:rsid w:val="002F20C4"/>
    <w:rsid w:val="002F30F9"/>
    <w:rsid w:val="002F3587"/>
    <w:rsid w:val="002F4DD9"/>
    <w:rsid w:val="002F55DE"/>
    <w:rsid w:val="002F710C"/>
    <w:rsid w:val="002F74EB"/>
    <w:rsid w:val="002F75FF"/>
    <w:rsid w:val="002F7BDF"/>
    <w:rsid w:val="002F7C10"/>
    <w:rsid w:val="002F7E02"/>
    <w:rsid w:val="00300008"/>
    <w:rsid w:val="00300087"/>
    <w:rsid w:val="00300729"/>
    <w:rsid w:val="00300DC2"/>
    <w:rsid w:val="003014F5"/>
    <w:rsid w:val="00302B89"/>
    <w:rsid w:val="00302CDD"/>
    <w:rsid w:val="003034B5"/>
    <w:rsid w:val="003040D5"/>
    <w:rsid w:val="003047CB"/>
    <w:rsid w:val="00304B2B"/>
    <w:rsid w:val="00305853"/>
    <w:rsid w:val="00305E0B"/>
    <w:rsid w:val="0030604E"/>
    <w:rsid w:val="003062FC"/>
    <w:rsid w:val="00306EC9"/>
    <w:rsid w:val="00307D19"/>
    <w:rsid w:val="00307EC8"/>
    <w:rsid w:val="00311905"/>
    <w:rsid w:val="00311ED4"/>
    <w:rsid w:val="003125E6"/>
    <w:rsid w:val="00312661"/>
    <w:rsid w:val="0031358D"/>
    <w:rsid w:val="00313C8F"/>
    <w:rsid w:val="003142E4"/>
    <w:rsid w:val="00314E90"/>
    <w:rsid w:val="003152BC"/>
    <w:rsid w:val="00315B4E"/>
    <w:rsid w:val="0031748C"/>
    <w:rsid w:val="00317FDE"/>
    <w:rsid w:val="00320EA0"/>
    <w:rsid w:val="0032191D"/>
    <w:rsid w:val="00321DAD"/>
    <w:rsid w:val="0032225D"/>
    <w:rsid w:val="00322362"/>
    <w:rsid w:val="00322940"/>
    <w:rsid w:val="00323266"/>
    <w:rsid w:val="003241B4"/>
    <w:rsid w:val="0032465F"/>
    <w:rsid w:val="00324722"/>
    <w:rsid w:val="003250F3"/>
    <w:rsid w:val="00325AB7"/>
    <w:rsid w:val="00326042"/>
    <w:rsid w:val="003263CE"/>
    <w:rsid w:val="00326DB8"/>
    <w:rsid w:val="00327964"/>
    <w:rsid w:val="00330F1A"/>
    <w:rsid w:val="00334A21"/>
    <w:rsid w:val="0033532A"/>
    <w:rsid w:val="0033555D"/>
    <w:rsid w:val="003358F2"/>
    <w:rsid w:val="003359A3"/>
    <w:rsid w:val="003359EB"/>
    <w:rsid w:val="00335B6C"/>
    <w:rsid w:val="00335CA1"/>
    <w:rsid w:val="003362B8"/>
    <w:rsid w:val="003362EC"/>
    <w:rsid w:val="0033674F"/>
    <w:rsid w:val="00336D81"/>
    <w:rsid w:val="003400F7"/>
    <w:rsid w:val="0034058A"/>
    <w:rsid w:val="00341AB9"/>
    <w:rsid w:val="00341EEB"/>
    <w:rsid w:val="00342215"/>
    <w:rsid w:val="003426CD"/>
    <w:rsid w:val="00342A51"/>
    <w:rsid w:val="00343219"/>
    <w:rsid w:val="00344255"/>
    <w:rsid w:val="00344976"/>
    <w:rsid w:val="00344B65"/>
    <w:rsid w:val="00344D35"/>
    <w:rsid w:val="00344D56"/>
    <w:rsid w:val="00344E7F"/>
    <w:rsid w:val="0034552A"/>
    <w:rsid w:val="003461DE"/>
    <w:rsid w:val="00347263"/>
    <w:rsid w:val="003473E6"/>
    <w:rsid w:val="00347C96"/>
    <w:rsid w:val="00350050"/>
    <w:rsid w:val="00350126"/>
    <w:rsid w:val="00350D0B"/>
    <w:rsid w:val="00351177"/>
    <w:rsid w:val="0035216D"/>
    <w:rsid w:val="0035331C"/>
    <w:rsid w:val="00353895"/>
    <w:rsid w:val="00354658"/>
    <w:rsid w:val="003546FA"/>
    <w:rsid w:val="003550FB"/>
    <w:rsid w:val="00355637"/>
    <w:rsid w:val="00355855"/>
    <w:rsid w:val="00355B6A"/>
    <w:rsid w:val="00355E97"/>
    <w:rsid w:val="003562C4"/>
    <w:rsid w:val="00356C7D"/>
    <w:rsid w:val="003572A2"/>
    <w:rsid w:val="00357AF7"/>
    <w:rsid w:val="00357E1E"/>
    <w:rsid w:val="00360444"/>
    <w:rsid w:val="003616F8"/>
    <w:rsid w:val="00361C07"/>
    <w:rsid w:val="003625E3"/>
    <w:rsid w:val="0036263F"/>
    <w:rsid w:val="00362699"/>
    <w:rsid w:val="003628D7"/>
    <w:rsid w:val="0036307A"/>
    <w:rsid w:val="003633BD"/>
    <w:rsid w:val="0036467A"/>
    <w:rsid w:val="0036470F"/>
    <w:rsid w:val="003650B2"/>
    <w:rsid w:val="00365507"/>
    <w:rsid w:val="00365E2C"/>
    <w:rsid w:val="003665E7"/>
    <w:rsid w:val="00366935"/>
    <w:rsid w:val="0036768C"/>
    <w:rsid w:val="003677B0"/>
    <w:rsid w:val="00367FD2"/>
    <w:rsid w:val="0037046B"/>
    <w:rsid w:val="0037065D"/>
    <w:rsid w:val="00370B6F"/>
    <w:rsid w:val="00370D84"/>
    <w:rsid w:val="00371F08"/>
    <w:rsid w:val="0037223D"/>
    <w:rsid w:val="003723FC"/>
    <w:rsid w:val="00372433"/>
    <w:rsid w:val="003724BF"/>
    <w:rsid w:val="00372548"/>
    <w:rsid w:val="0037254C"/>
    <w:rsid w:val="00373315"/>
    <w:rsid w:val="003733CC"/>
    <w:rsid w:val="00373CE5"/>
    <w:rsid w:val="003749C2"/>
    <w:rsid w:val="00374B9A"/>
    <w:rsid w:val="00374EFC"/>
    <w:rsid w:val="003755D1"/>
    <w:rsid w:val="00376358"/>
    <w:rsid w:val="00376AA8"/>
    <w:rsid w:val="003776D7"/>
    <w:rsid w:val="00377988"/>
    <w:rsid w:val="00377ECE"/>
    <w:rsid w:val="00381406"/>
    <w:rsid w:val="003815CA"/>
    <w:rsid w:val="0038189D"/>
    <w:rsid w:val="00381C59"/>
    <w:rsid w:val="0038253D"/>
    <w:rsid w:val="003826B7"/>
    <w:rsid w:val="00382D4A"/>
    <w:rsid w:val="00384969"/>
    <w:rsid w:val="00384F00"/>
    <w:rsid w:val="00385CCE"/>
    <w:rsid w:val="00386D09"/>
    <w:rsid w:val="00390684"/>
    <w:rsid w:val="00391CD7"/>
    <w:rsid w:val="0039291C"/>
    <w:rsid w:val="00392FAA"/>
    <w:rsid w:val="00393328"/>
    <w:rsid w:val="00393BCB"/>
    <w:rsid w:val="00393BD3"/>
    <w:rsid w:val="00393F32"/>
    <w:rsid w:val="003946B8"/>
    <w:rsid w:val="003946EC"/>
    <w:rsid w:val="00394BBA"/>
    <w:rsid w:val="003961FC"/>
    <w:rsid w:val="00396443"/>
    <w:rsid w:val="003978F9"/>
    <w:rsid w:val="00397BC7"/>
    <w:rsid w:val="00397D40"/>
    <w:rsid w:val="00397EC3"/>
    <w:rsid w:val="003A1921"/>
    <w:rsid w:val="003A1970"/>
    <w:rsid w:val="003A1A37"/>
    <w:rsid w:val="003A1B66"/>
    <w:rsid w:val="003A1CFA"/>
    <w:rsid w:val="003A1FC6"/>
    <w:rsid w:val="003A1FF1"/>
    <w:rsid w:val="003A23C2"/>
    <w:rsid w:val="003A2CFE"/>
    <w:rsid w:val="003A2DA8"/>
    <w:rsid w:val="003A2F51"/>
    <w:rsid w:val="003A3265"/>
    <w:rsid w:val="003A3737"/>
    <w:rsid w:val="003A4032"/>
    <w:rsid w:val="003A4464"/>
    <w:rsid w:val="003A504D"/>
    <w:rsid w:val="003A5557"/>
    <w:rsid w:val="003A56B4"/>
    <w:rsid w:val="003A6071"/>
    <w:rsid w:val="003A6115"/>
    <w:rsid w:val="003A6247"/>
    <w:rsid w:val="003A6852"/>
    <w:rsid w:val="003A6D5E"/>
    <w:rsid w:val="003A6DC0"/>
    <w:rsid w:val="003A6DDB"/>
    <w:rsid w:val="003A7334"/>
    <w:rsid w:val="003A74D8"/>
    <w:rsid w:val="003B0586"/>
    <w:rsid w:val="003B0B85"/>
    <w:rsid w:val="003B0E60"/>
    <w:rsid w:val="003B11B0"/>
    <w:rsid w:val="003B11F4"/>
    <w:rsid w:val="003B2818"/>
    <w:rsid w:val="003B356E"/>
    <w:rsid w:val="003B3914"/>
    <w:rsid w:val="003B4DF4"/>
    <w:rsid w:val="003B4FCE"/>
    <w:rsid w:val="003B504E"/>
    <w:rsid w:val="003B53CB"/>
    <w:rsid w:val="003B55E2"/>
    <w:rsid w:val="003B56F3"/>
    <w:rsid w:val="003B70C3"/>
    <w:rsid w:val="003B70F1"/>
    <w:rsid w:val="003B76A5"/>
    <w:rsid w:val="003C03C5"/>
    <w:rsid w:val="003C1AB3"/>
    <w:rsid w:val="003C1DB7"/>
    <w:rsid w:val="003C1DC1"/>
    <w:rsid w:val="003C20F0"/>
    <w:rsid w:val="003C27B7"/>
    <w:rsid w:val="003C2AD2"/>
    <w:rsid w:val="003C2CD4"/>
    <w:rsid w:val="003C3E5C"/>
    <w:rsid w:val="003C3E99"/>
    <w:rsid w:val="003C40B5"/>
    <w:rsid w:val="003C4282"/>
    <w:rsid w:val="003C4941"/>
    <w:rsid w:val="003C589A"/>
    <w:rsid w:val="003C59EB"/>
    <w:rsid w:val="003C5E5A"/>
    <w:rsid w:val="003C656F"/>
    <w:rsid w:val="003C6F74"/>
    <w:rsid w:val="003C6FBE"/>
    <w:rsid w:val="003C7571"/>
    <w:rsid w:val="003C786B"/>
    <w:rsid w:val="003C7DD5"/>
    <w:rsid w:val="003D1450"/>
    <w:rsid w:val="003D1C38"/>
    <w:rsid w:val="003D2713"/>
    <w:rsid w:val="003D307C"/>
    <w:rsid w:val="003D38A1"/>
    <w:rsid w:val="003D3A93"/>
    <w:rsid w:val="003D3B10"/>
    <w:rsid w:val="003D3D13"/>
    <w:rsid w:val="003D3F5D"/>
    <w:rsid w:val="003D54A5"/>
    <w:rsid w:val="003D5626"/>
    <w:rsid w:val="003D5E0E"/>
    <w:rsid w:val="003D68C7"/>
    <w:rsid w:val="003D6AB2"/>
    <w:rsid w:val="003D6B06"/>
    <w:rsid w:val="003D79FF"/>
    <w:rsid w:val="003D7FEA"/>
    <w:rsid w:val="003E0EAE"/>
    <w:rsid w:val="003E1530"/>
    <w:rsid w:val="003E1D5A"/>
    <w:rsid w:val="003E2A29"/>
    <w:rsid w:val="003E2FAB"/>
    <w:rsid w:val="003E311D"/>
    <w:rsid w:val="003E319B"/>
    <w:rsid w:val="003E3316"/>
    <w:rsid w:val="003E3C47"/>
    <w:rsid w:val="003E4625"/>
    <w:rsid w:val="003E4638"/>
    <w:rsid w:val="003E4E17"/>
    <w:rsid w:val="003E54CF"/>
    <w:rsid w:val="003E59E7"/>
    <w:rsid w:val="003E5D75"/>
    <w:rsid w:val="003E696E"/>
    <w:rsid w:val="003E76AB"/>
    <w:rsid w:val="003E78E2"/>
    <w:rsid w:val="003E7A59"/>
    <w:rsid w:val="003E7F89"/>
    <w:rsid w:val="003F00CC"/>
    <w:rsid w:val="003F0848"/>
    <w:rsid w:val="003F0948"/>
    <w:rsid w:val="003F0EC3"/>
    <w:rsid w:val="003F10F1"/>
    <w:rsid w:val="003F1397"/>
    <w:rsid w:val="003F168D"/>
    <w:rsid w:val="003F17F0"/>
    <w:rsid w:val="003F1856"/>
    <w:rsid w:val="003F2A46"/>
    <w:rsid w:val="003F305F"/>
    <w:rsid w:val="003F3C94"/>
    <w:rsid w:val="003F40D0"/>
    <w:rsid w:val="003F51D9"/>
    <w:rsid w:val="003F5E15"/>
    <w:rsid w:val="003F650F"/>
    <w:rsid w:val="003F688E"/>
    <w:rsid w:val="003F6B40"/>
    <w:rsid w:val="00400662"/>
    <w:rsid w:val="00400785"/>
    <w:rsid w:val="00400E2A"/>
    <w:rsid w:val="004018D6"/>
    <w:rsid w:val="00402E14"/>
    <w:rsid w:val="004033A6"/>
    <w:rsid w:val="00403480"/>
    <w:rsid w:val="004036EF"/>
    <w:rsid w:val="00403FF5"/>
    <w:rsid w:val="0040402A"/>
    <w:rsid w:val="0040422D"/>
    <w:rsid w:val="00404611"/>
    <w:rsid w:val="0040569F"/>
    <w:rsid w:val="00406093"/>
    <w:rsid w:val="00406327"/>
    <w:rsid w:val="00406C81"/>
    <w:rsid w:val="004077EB"/>
    <w:rsid w:val="00407D56"/>
    <w:rsid w:val="00407F8D"/>
    <w:rsid w:val="0041038D"/>
    <w:rsid w:val="004103E0"/>
    <w:rsid w:val="00410B27"/>
    <w:rsid w:val="00410F01"/>
    <w:rsid w:val="0041114E"/>
    <w:rsid w:val="004124CE"/>
    <w:rsid w:val="00412584"/>
    <w:rsid w:val="00412C83"/>
    <w:rsid w:val="004150AC"/>
    <w:rsid w:val="0041577A"/>
    <w:rsid w:val="00416166"/>
    <w:rsid w:val="004162FC"/>
    <w:rsid w:val="004163AE"/>
    <w:rsid w:val="00417D74"/>
    <w:rsid w:val="00417DA8"/>
    <w:rsid w:val="00417F99"/>
    <w:rsid w:val="00417FD0"/>
    <w:rsid w:val="00420976"/>
    <w:rsid w:val="004211F1"/>
    <w:rsid w:val="00421419"/>
    <w:rsid w:val="00421BEA"/>
    <w:rsid w:val="00422536"/>
    <w:rsid w:val="0042258A"/>
    <w:rsid w:val="004228FD"/>
    <w:rsid w:val="00423657"/>
    <w:rsid w:val="0042377F"/>
    <w:rsid w:val="00423B07"/>
    <w:rsid w:val="00424545"/>
    <w:rsid w:val="00425286"/>
    <w:rsid w:val="00425B05"/>
    <w:rsid w:val="004262AD"/>
    <w:rsid w:val="00426C83"/>
    <w:rsid w:val="00427B3E"/>
    <w:rsid w:val="00427C7C"/>
    <w:rsid w:val="00427DC8"/>
    <w:rsid w:val="00427E3E"/>
    <w:rsid w:val="004303C3"/>
    <w:rsid w:val="00432197"/>
    <w:rsid w:val="00432E4F"/>
    <w:rsid w:val="00433657"/>
    <w:rsid w:val="004338ED"/>
    <w:rsid w:val="00433B2F"/>
    <w:rsid w:val="00433F0B"/>
    <w:rsid w:val="00435426"/>
    <w:rsid w:val="004369DF"/>
    <w:rsid w:val="004369E9"/>
    <w:rsid w:val="00437EDB"/>
    <w:rsid w:val="00440128"/>
    <w:rsid w:val="00440423"/>
    <w:rsid w:val="00440ECF"/>
    <w:rsid w:val="00441A26"/>
    <w:rsid w:val="00441B1C"/>
    <w:rsid w:val="004426D8"/>
    <w:rsid w:val="00442831"/>
    <w:rsid w:val="00443630"/>
    <w:rsid w:val="00443D05"/>
    <w:rsid w:val="00443E69"/>
    <w:rsid w:val="004454F0"/>
    <w:rsid w:val="004456DC"/>
    <w:rsid w:val="0044575E"/>
    <w:rsid w:val="00445F7A"/>
    <w:rsid w:val="00446901"/>
    <w:rsid w:val="00447607"/>
    <w:rsid w:val="0044783E"/>
    <w:rsid w:val="00447B24"/>
    <w:rsid w:val="004501C3"/>
    <w:rsid w:val="004504C3"/>
    <w:rsid w:val="0045098D"/>
    <w:rsid w:val="004509D4"/>
    <w:rsid w:val="00450AC3"/>
    <w:rsid w:val="00450E84"/>
    <w:rsid w:val="00451F0B"/>
    <w:rsid w:val="004523E0"/>
    <w:rsid w:val="00453437"/>
    <w:rsid w:val="00453FF6"/>
    <w:rsid w:val="0045432F"/>
    <w:rsid w:val="00454671"/>
    <w:rsid w:val="00454D1D"/>
    <w:rsid w:val="004553DB"/>
    <w:rsid w:val="004559B8"/>
    <w:rsid w:val="00455AAA"/>
    <w:rsid w:val="00455B9E"/>
    <w:rsid w:val="0045605A"/>
    <w:rsid w:val="0045647D"/>
    <w:rsid w:val="00456B4E"/>
    <w:rsid w:val="00456C02"/>
    <w:rsid w:val="004575CC"/>
    <w:rsid w:val="0045775E"/>
    <w:rsid w:val="00457C00"/>
    <w:rsid w:val="00457E64"/>
    <w:rsid w:val="00457E96"/>
    <w:rsid w:val="004601B9"/>
    <w:rsid w:val="0046032A"/>
    <w:rsid w:val="00460EA1"/>
    <w:rsid w:val="0046148A"/>
    <w:rsid w:val="00461996"/>
    <w:rsid w:val="00461C7B"/>
    <w:rsid w:val="0046264B"/>
    <w:rsid w:val="00462B42"/>
    <w:rsid w:val="004633E3"/>
    <w:rsid w:val="00464141"/>
    <w:rsid w:val="00464669"/>
    <w:rsid w:val="00464AA8"/>
    <w:rsid w:val="004652EC"/>
    <w:rsid w:val="00465A95"/>
    <w:rsid w:val="00465B46"/>
    <w:rsid w:val="00465BDC"/>
    <w:rsid w:val="0046602E"/>
    <w:rsid w:val="00466F84"/>
    <w:rsid w:val="00467D83"/>
    <w:rsid w:val="00470B0A"/>
    <w:rsid w:val="00470E52"/>
    <w:rsid w:val="00471017"/>
    <w:rsid w:val="00471B32"/>
    <w:rsid w:val="004727DE"/>
    <w:rsid w:val="00472E93"/>
    <w:rsid w:val="00472F71"/>
    <w:rsid w:val="004736EA"/>
    <w:rsid w:val="004738BB"/>
    <w:rsid w:val="00473D56"/>
    <w:rsid w:val="00474051"/>
    <w:rsid w:val="0047422B"/>
    <w:rsid w:val="00474EDF"/>
    <w:rsid w:val="00475181"/>
    <w:rsid w:val="004751F2"/>
    <w:rsid w:val="00475397"/>
    <w:rsid w:val="004764C2"/>
    <w:rsid w:val="00476877"/>
    <w:rsid w:val="00476960"/>
    <w:rsid w:val="00477382"/>
    <w:rsid w:val="0047756E"/>
    <w:rsid w:val="00477D6B"/>
    <w:rsid w:val="00477EC6"/>
    <w:rsid w:val="00480275"/>
    <w:rsid w:val="0048132D"/>
    <w:rsid w:val="00481394"/>
    <w:rsid w:val="0048160C"/>
    <w:rsid w:val="00482CDA"/>
    <w:rsid w:val="00484981"/>
    <w:rsid w:val="00484AEE"/>
    <w:rsid w:val="00484E6E"/>
    <w:rsid w:val="0048592B"/>
    <w:rsid w:val="004859C8"/>
    <w:rsid w:val="004864BE"/>
    <w:rsid w:val="00486F7F"/>
    <w:rsid w:val="00487132"/>
    <w:rsid w:val="00490C9A"/>
    <w:rsid w:val="00491987"/>
    <w:rsid w:val="00491F82"/>
    <w:rsid w:val="00492B4F"/>
    <w:rsid w:val="0049306F"/>
    <w:rsid w:val="00493D81"/>
    <w:rsid w:val="0049419C"/>
    <w:rsid w:val="004945E8"/>
    <w:rsid w:val="004952F1"/>
    <w:rsid w:val="00495AE6"/>
    <w:rsid w:val="00495D51"/>
    <w:rsid w:val="004966E9"/>
    <w:rsid w:val="00496809"/>
    <w:rsid w:val="0049688E"/>
    <w:rsid w:val="004968A3"/>
    <w:rsid w:val="00496B13"/>
    <w:rsid w:val="00497938"/>
    <w:rsid w:val="00497C4D"/>
    <w:rsid w:val="00497DE7"/>
    <w:rsid w:val="004A0077"/>
    <w:rsid w:val="004A07FB"/>
    <w:rsid w:val="004A1ED3"/>
    <w:rsid w:val="004A30B1"/>
    <w:rsid w:val="004A44A8"/>
    <w:rsid w:val="004A567F"/>
    <w:rsid w:val="004A5E63"/>
    <w:rsid w:val="004A695C"/>
    <w:rsid w:val="004A7156"/>
    <w:rsid w:val="004A72EB"/>
    <w:rsid w:val="004A7AFF"/>
    <w:rsid w:val="004B0681"/>
    <w:rsid w:val="004B0EFF"/>
    <w:rsid w:val="004B13AB"/>
    <w:rsid w:val="004B175D"/>
    <w:rsid w:val="004B1D1F"/>
    <w:rsid w:val="004B2602"/>
    <w:rsid w:val="004B2CF7"/>
    <w:rsid w:val="004B3284"/>
    <w:rsid w:val="004B39F1"/>
    <w:rsid w:val="004B432C"/>
    <w:rsid w:val="004B5B29"/>
    <w:rsid w:val="004B63E0"/>
    <w:rsid w:val="004B676F"/>
    <w:rsid w:val="004B6926"/>
    <w:rsid w:val="004B757D"/>
    <w:rsid w:val="004B7B40"/>
    <w:rsid w:val="004C056F"/>
    <w:rsid w:val="004C0798"/>
    <w:rsid w:val="004C23DB"/>
    <w:rsid w:val="004C27EB"/>
    <w:rsid w:val="004C2883"/>
    <w:rsid w:val="004C2C39"/>
    <w:rsid w:val="004C2FBB"/>
    <w:rsid w:val="004C36DF"/>
    <w:rsid w:val="004C3BD3"/>
    <w:rsid w:val="004C3FC2"/>
    <w:rsid w:val="004C4D43"/>
    <w:rsid w:val="004C5871"/>
    <w:rsid w:val="004C5F4C"/>
    <w:rsid w:val="004C6450"/>
    <w:rsid w:val="004C665C"/>
    <w:rsid w:val="004C68E2"/>
    <w:rsid w:val="004C696A"/>
    <w:rsid w:val="004C6B30"/>
    <w:rsid w:val="004C6C64"/>
    <w:rsid w:val="004C6D97"/>
    <w:rsid w:val="004C6F67"/>
    <w:rsid w:val="004C7112"/>
    <w:rsid w:val="004C77A6"/>
    <w:rsid w:val="004D0B3C"/>
    <w:rsid w:val="004D11C6"/>
    <w:rsid w:val="004D1A3A"/>
    <w:rsid w:val="004D20D7"/>
    <w:rsid w:val="004D2628"/>
    <w:rsid w:val="004D321B"/>
    <w:rsid w:val="004D379B"/>
    <w:rsid w:val="004D421B"/>
    <w:rsid w:val="004D42A4"/>
    <w:rsid w:val="004D4A58"/>
    <w:rsid w:val="004D5430"/>
    <w:rsid w:val="004D5B21"/>
    <w:rsid w:val="004D63F2"/>
    <w:rsid w:val="004D6477"/>
    <w:rsid w:val="004D74AF"/>
    <w:rsid w:val="004D79FB"/>
    <w:rsid w:val="004D7C86"/>
    <w:rsid w:val="004E01F7"/>
    <w:rsid w:val="004E0DDA"/>
    <w:rsid w:val="004E2D67"/>
    <w:rsid w:val="004E440D"/>
    <w:rsid w:val="004E4590"/>
    <w:rsid w:val="004E47F0"/>
    <w:rsid w:val="004E4B8E"/>
    <w:rsid w:val="004E566F"/>
    <w:rsid w:val="004E59B9"/>
    <w:rsid w:val="004E5AA1"/>
    <w:rsid w:val="004E5FEB"/>
    <w:rsid w:val="004E6070"/>
    <w:rsid w:val="004E6928"/>
    <w:rsid w:val="004E6B64"/>
    <w:rsid w:val="004E79C3"/>
    <w:rsid w:val="004E7A77"/>
    <w:rsid w:val="004E7CC6"/>
    <w:rsid w:val="004F06AC"/>
    <w:rsid w:val="004F06F9"/>
    <w:rsid w:val="004F0DFD"/>
    <w:rsid w:val="004F1896"/>
    <w:rsid w:val="004F1D03"/>
    <w:rsid w:val="004F1FCD"/>
    <w:rsid w:val="004F2319"/>
    <w:rsid w:val="004F271F"/>
    <w:rsid w:val="004F2D57"/>
    <w:rsid w:val="004F3002"/>
    <w:rsid w:val="004F30ED"/>
    <w:rsid w:val="004F429F"/>
    <w:rsid w:val="004F4847"/>
    <w:rsid w:val="004F5021"/>
    <w:rsid w:val="004F55A8"/>
    <w:rsid w:val="004F58DC"/>
    <w:rsid w:val="004F70CB"/>
    <w:rsid w:val="004F7641"/>
    <w:rsid w:val="005007CD"/>
    <w:rsid w:val="00500E34"/>
    <w:rsid w:val="00501EE3"/>
    <w:rsid w:val="00502391"/>
    <w:rsid w:val="0050357E"/>
    <w:rsid w:val="00503A1A"/>
    <w:rsid w:val="00503E65"/>
    <w:rsid w:val="00504B2C"/>
    <w:rsid w:val="0050519F"/>
    <w:rsid w:val="00505526"/>
    <w:rsid w:val="00505D10"/>
    <w:rsid w:val="005062E9"/>
    <w:rsid w:val="00507045"/>
    <w:rsid w:val="0051057E"/>
    <w:rsid w:val="0051116A"/>
    <w:rsid w:val="005113F6"/>
    <w:rsid w:val="00511468"/>
    <w:rsid w:val="00511661"/>
    <w:rsid w:val="00511BA7"/>
    <w:rsid w:val="00511D38"/>
    <w:rsid w:val="00512E09"/>
    <w:rsid w:val="00513192"/>
    <w:rsid w:val="005135DC"/>
    <w:rsid w:val="00514C88"/>
    <w:rsid w:val="0051555A"/>
    <w:rsid w:val="00515614"/>
    <w:rsid w:val="00516A5A"/>
    <w:rsid w:val="005174F5"/>
    <w:rsid w:val="00520B2C"/>
    <w:rsid w:val="00521819"/>
    <w:rsid w:val="0052187E"/>
    <w:rsid w:val="00521AF5"/>
    <w:rsid w:val="00521E85"/>
    <w:rsid w:val="00521EE0"/>
    <w:rsid w:val="0052208C"/>
    <w:rsid w:val="00522ACE"/>
    <w:rsid w:val="00522D14"/>
    <w:rsid w:val="0052314B"/>
    <w:rsid w:val="00523ECD"/>
    <w:rsid w:val="00524339"/>
    <w:rsid w:val="00524E08"/>
    <w:rsid w:val="00524EC2"/>
    <w:rsid w:val="00525031"/>
    <w:rsid w:val="00526B18"/>
    <w:rsid w:val="005277F2"/>
    <w:rsid w:val="00527F9D"/>
    <w:rsid w:val="00530578"/>
    <w:rsid w:val="005306F5"/>
    <w:rsid w:val="00530D58"/>
    <w:rsid w:val="005327E8"/>
    <w:rsid w:val="005328D8"/>
    <w:rsid w:val="00532BED"/>
    <w:rsid w:val="00532DC6"/>
    <w:rsid w:val="00533678"/>
    <w:rsid w:val="00534CC5"/>
    <w:rsid w:val="0053518E"/>
    <w:rsid w:val="00535A7D"/>
    <w:rsid w:val="00535B25"/>
    <w:rsid w:val="00535C07"/>
    <w:rsid w:val="00536054"/>
    <w:rsid w:val="00536171"/>
    <w:rsid w:val="0053709D"/>
    <w:rsid w:val="00537998"/>
    <w:rsid w:val="005379B8"/>
    <w:rsid w:val="00537B68"/>
    <w:rsid w:val="00540057"/>
    <w:rsid w:val="00540725"/>
    <w:rsid w:val="00540DC4"/>
    <w:rsid w:val="005413A3"/>
    <w:rsid w:val="00541581"/>
    <w:rsid w:val="00541953"/>
    <w:rsid w:val="00541B43"/>
    <w:rsid w:val="00542085"/>
    <w:rsid w:val="0054223D"/>
    <w:rsid w:val="0054244A"/>
    <w:rsid w:val="005434CE"/>
    <w:rsid w:val="005436CC"/>
    <w:rsid w:val="00543FA0"/>
    <w:rsid w:val="00544921"/>
    <w:rsid w:val="00544CAE"/>
    <w:rsid w:val="005450D7"/>
    <w:rsid w:val="00545620"/>
    <w:rsid w:val="00545FC3"/>
    <w:rsid w:val="00546731"/>
    <w:rsid w:val="00546E22"/>
    <w:rsid w:val="00550047"/>
    <w:rsid w:val="00550336"/>
    <w:rsid w:val="00550800"/>
    <w:rsid w:val="00550C4F"/>
    <w:rsid w:val="005512FD"/>
    <w:rsid w:val="0055321B"/>
    <w:rsid w:val="00553849"/>
    <w:rsid w:val="0055437C"/>
    <w:rsid w:val="005544AB"/>
    <w:rsid w:val="005545C1"/>
    <w:rsid w:val="0055478A"/>
    <w:rsid w:val="00554D52"/>
    <w:rsid w:val="00554E9F"/>
    <w:rsid w:val="005553C1"/>
    <w:rsid w:val="0055580A"/>
    <w:rsid w:val="005558ED"/>
    <w:rsid w:val="00555EF0"/>
    <w:rsid w:val="00556F52"/>
    <w:rsid w:val="00557C2A"/>
    <w:rsid w:val="00560691"/>
    <w:rsid w:val="005612BD"/>
    <w:rsid w:val="00561A2D"/>
    <w:rsid w:val="00562998"/>
    <w:rsid w:val="005632B2"/>
    <w:rsid w:val="00563B40"/>
    <w:rsid w:val="00563D88"/>
    <w:rsid w:val="00564150"/>
    <w:rsid w:val="005656FD"/>
    <w:rsid w:val="00565DC6"/>
    <w:rsid w:val="00565E86"/>
    <w:rsid w:val="00565F1A"/>
    <w:rsid w:val="00566092"/>
    <w:rsid w:val="0056672C"/>
    <w:rsid w:val="00566748"/>
    <w:rsid w:val="0056785D"/>
    <w:rsid w:val="005679B4"/>
    <w:rsid w:val="00571D04"/>
    <w:rsid w:val="00572583"/>
    <w:rsid w:val="00572DC9"/>
    <w:rsid w:val="00572DE8"/>
    <w:rsid w:val="00572F8D"/>
    <w:rsid w:val="00573600"/>
    <w:rsid w:val="00573BD5"/>
    <w:rsid w:val="00573ECF"/>
    <w:rsid w:val="00574031"/>
    <w:rsid w:val="0057408B"/>
    <w:rsid w:val="005749AB"/>
    <w:rsid w:val="00575B44"/>
    <w:rsid w:val="005764B9"/>
    <w:rsid w:val="00576601"/>
    <w:rsid w:val="00576886"/>
    <w:rsid w:val="00577033"/>
    <w:rsid w:val="00577069"/>
    <w:rsid w:val="005770EA"/>
    <w:rsid w:val="005777F0"/>
    <w:rsid w:val="0058108D"/>
    <w:rsid w:val="00582B86"/>
    <w:rsid w:val="00583AD9"/>
    <w:rsid w:val="005841DF"/>
    <w:rsid w:val="0058443D"/>
    <w:rsid w:val="00584A41"/>
    <w:rsid w:val="00584B67"/>
    <w:rsid w:val="00584C9D"/>
    <w:rsid w:val="00585206"/>
    <w:rsid w:val="005861B6"/>
    <w:rsid w:val="00586D20"/>
    <w:rsid w:val="00587AAA"/>
    <w:rsid w:val="0059020B"/>
    <w:rsid w:val="005906BA"/>
    <w:rsid w:val="00590A80"/>
    <w:rsid w:val="00590CE6"/>
    <w:rsid w:val="00591537"/>
    <w:rsid w:val="005919B9"/>
    <w:rsid w:val="00591CC7"/>
    <w:rsid w:val="00591D9C"/>
    <w:rsid w:val="00592324"/>
    <w:rsid w:val="005925C5"/>
    <w:rsid w:val="00592649"/>
    <w:rsid w:val="00593141"/>
    <w:rsid w:val="00594253"/>
    <w:rsid w:val="005945D7"/>
    <w:rsid w:val="00594789"/>
    <w:rsid w:val="005947CF"/>
    <w:rsid w:val="00594C99"/>
    <w:rsid w:val="00594CBA"/>
    <w:rsid w:val="00595D96"/>
    <w:rsid w:val="00596CF6"/>
    <w:rsid w:val="00596F37"/>
    <w:rsid w:val="0059717A"/>
    <w:rsid w:val="00597735"/>
    <w:rsid w:val="0059778B"/>
    <w:rsid w:val="005A00B8"/>
    <w:rsid w:val="005A0187"/>
    <w:rsid w:val="005A06A9"/>
    <w:rsid w:val="005A1E8B"/>
    <w:rsid w:val="005A23C4"/>
    <w:rsid w:val="005A2917"/>
    <w:rsid w:val="005A2B1E"/>
    <w:rsid w:val="005A2D71"/>
    <w:rsid w:val="005A324B"/>
    <w:rsid w:val="005A4A8E"/>
    <w:rsid w:val="005A5A14"/>
    <w:rsid w:val="005A5CAB"/>
    <w:rsid w:val="005A68E7"/>
    <w:rsid w:val="005A6EAA"/>
    <w:rsid w:val="005A71AA"/>
    <w:rsid w:val="005B12A6"/>
    <w:rsid w:val="005B269D"/>
    <w:rsid w:val="005B2DB6"/>
    <w:rsid w:val="005B3032"/>
    <w:rsid w:val="005B3BC2"/>
    <w:rsid w:val="005B4072"/>
    <w:rsid w:val="005B4078"/>
    <w:rsid w:val="005B44C7"/>
    <w:rsid w:val="005B4B1D"/>
    <w:rsid w:val="005B4DC7"/>
    <w:rsid w:val="005B5941"/>
    <w:rsid w:val="005B5B0B"/>
    <w:rsid w:val="005B70BD"/>
    <w:rsid w:val="005B7B2F"/>
    <w:rsid w:val="005C0B0A"/>
    <w:rsid w:val="005C1FBC"/>
    <w:rsid w:val="005C3E0E"/>
    <w:rsid w:val="005C3E39"/>
    <w:rsid w:val="005C4AAD"/>
    <w:rsid w:val="005C4CE5"/>
    <w:rsid w:val="005C4E25"/>
    <w:rsid w:val="005C53F8"/>
    <w:rsid w:val="005C5861"/>
    <w:rsid w:val="005C6153"/>
    <w:rsid w:val="005D00E9"/>
    <w:rsid w:val="005D1077"/>
    <w:rsid w:val="005D132B"/>
    <w:rsid w:val="005D1E11"/>
    <w:rsid w:val="005D1EA1"/>
    <w:rsid w:val="005D2226"/>
    <w:rsid w:val="005D3222"/>
    <w:rsid w:val="005D33A0"/>
    <w:rsid w:val="005D374B"/>
    <w:rsid w:val="005D3778"/>
    <w:rsid w:val="005D5183"/>
    <w:rsid w:val="005D561F"/>
    <w:rsid w:val="005D5B75"/>
    <w:rsid w:val="005D7020"/>
    <w:rsid w:val="005D709A"/>
    <w:rsid w:val="005D728F"/>
    <w:rsid w:val="005E0223"/>
    <w:rsid w:val="005E02DE"/>
    <w:rsid w:val="005E0B9F"/>
    <w:rsid w:val="005E1AF0"/>
    <w:rsid w:val="005E1E24"/>
    <w:rsid w:val="005E237B"/>
    <w:rsid w:val="005E2C5F"/>
    <w:rsid w:val="005E2CFD"/>
    <w:rsid w:val="005E3336"/>
    <w:rsid w:val="005E4F5A"/>
    <w:rsid w:val="005E51B4"/>
    <w:rsid w:val="005E5264"/>
    <w:rsid w:val="005E582B"/>
    <w:rsid w:val="005E65F1"/>
    <w:rsid w:val="005F03AA"/>
    <w:rsid w:val="005F07E6"/>
    <w:rsid w:val="005F0B46"/>
    <w:rsid w:val="005F1407"/>
    <w:rsid w:val="005F16C8"/>
    <w:rsid w:val="005F1E0A"/>
    <w:rsid w:val="005F221A"/>
    <w:rsid w:val="005F2893"/>
    <w:rsid w:val="005F302C"/>
    <w:rsid w:val="005F3321"/>
    <w:rsid w:val="005F37E8"/>
    <w:rsid w:val="005F4866"/>
    <w:rsid w:val="005F4B29"/>
    <w:rsid w:val="005F51E5"/>
    <w:rsid w:val="005F5302"/>
    <w:rsid w:val="005F541D"/>
    <w:rsid w:val="005F5955"/>
    <w:rsid w:val="005F5D5C"/>
    <w:rsid w:val="005F5D9E"/>
    <w:rsid w:val="005F6915"/>
    <w:rsid w:val="005F693D"/>
    <w:rsid w:val="005F6ADB"/>
    <w:rsid w:val="005F78A6"/>
    <w:rsid w:val="0060087E"/>
    <w:rsid w:val="00600F4A"/>
    <w:rsid w:val="00602CE4"/>
    <w:rsid w:val="00602F43"/>
    <w:rsid w:val="0060308C"/>
    <w:rsid w:val="0060326E"/>
    <w:rsid w:val="00603406"/>
    <w:rsid w:val="0060367B"/>
    <w:rsid w:val="00603869"/>
    <w:rsid w:val="00603B85"/>
    <w:rsid w:val="00603E15"/>
    <w:rsid w:val="006041AF"/>
    <w:rsid w:val="006045DD"/>
    <w:rsid w:val="00604DA2"/>
    <w:rsid w:val="00604DC1"/>
    <w:rsid w:val="00604E4B"/>
    <w:rsid w:val="006059F3"/>
    <w:rsid w:val="006061D6"/>
    <w:rsid w:val="00606564"/>
    <w:rsid w:val="00606EDD"/>
    <w:rsid w:val="006079AD"/>
    <w:rsid w:val="00610049"/>
    <w:rsid w:val="00610414"/>
    <w:rsid w:val="00611270"/>
    <w:rsid w:val="00611427"/>
    <w:rsid w:val="00611660"/>
    <w:rsid w:val="00612FFB"/>
    <w:rsid w:val="006138AB"/>
    <w:rsid w:val="00613B89"/>
    <w:rsid w:val="00613EDF"/>
    <w:rsid w:val="00614682"/>
    <w:rsid w:val="00615188"/>
    <w:rsid w:val="00615301"/>
    <w:rsid w:val="00616549"/>
    <w:rsid w:val="00616550"/>
    <w:rsid w:val="00617859"/>
    <w:rsid w:val="006218F4"/>
    <w:rsid w:val="00621D3F"/>
    <w:rsid w:val="00622154"/>
    <w:rsid w:val="00622161"/>
    <w:rsid w:val="006225C6"/>
    <w:rsid w:val="00623386"/>
    <w:rsid w:val="00623693"/>
    <w:rsid w:val="006237C6"/>
    <w:rsid w:val="00623C3E"/>
    <w:rsid w:val="006253A5"/>
    <w:rsid w:val="00625B7C"/>
    <w:rsid w:val="00626B2E"/>
    <w:rsid w:val="00627586"/>
    <w:rsid w:val="0063039B"/>
    <w:rsid w:val="0063167A"/>
    <w:rsid w:val="00631889"/>
    <w:rsid w:val="00631EF0"/>
    <w:rsid w:val="00631F9F"/>
    <w:rsid w:val="006324D5"/>
    <w:rsid w:val="006331EE"/>
    <w:rsid w:val="00633625"/>
    <w:rsid w:val="00633A63"/>
    <w:rsid w:val="00635030"/>
    <w:rsid w:val="006351F1"/>
    <w:rsid w:val="0063589F"/>
    <w:rsid w:val="00635E3B"/>
    <w:rsid w:val="00636A91"/>
    <w:rsid w:val="006371CA"/>
    <w:rsid w:val="00637C29"/>
    <w:rsid w:val="00637EAB"/>
    <w:rsid w:val="00640298"/>
    <w:rsid w:val="0064252D"/>
    <w:rsid w:val="0064262C"/>
    <w:rsid w:val="00643C15"/>
    <w:rsid w:val="00643E4B"/>
    <w:rsid w:val="00644916"/>
    <w:rsid w:val="00644AE5"/>
    <w:rsid w:val="00645181"/>
    <w:rsid w:val="006456D9"/>
    <w:rsid w:val="00645759"/>
    <w:rsid w:val="00645798"/>
    <w:rsid w:val="0064687A"/>
    <w:rsid w:val="00646F53"/>
    <w:rsid w:val="006472F2"/>
    <w:rsid w:val="006501EE"/>
    <w:rsid w:val="006505C6"/>
    <w:rsid w:val="00650B26"/>
    <w:rsid w:val="00651509"/>
    <w:rsid w:val="00651A59"/>
    <w:rsid w:val="00651ED6"/>
    <w:rsid w:val="006521E1"/>
    <w:rsid w:val="00652A64"/>
    <w:rsid w:val="00652C1E"/>
    <w:rsid w:val="006542B6"/>
    <w:rsid w:val="00654484"/>
    <w:rsid w:val="0065457D"/>
    <w:rsid w:val="0065464A"/>
    <w:rsid w:val="00654725"/>
    <w:rsid w:val="00654F74"/>
    <w:rsid w:val="00655DC6"/>
    <w:rsid w:val="00657415"/>
    <w:rsid w:val="00657CF7"/>
    <w:rsid w:val="00657E40"/>
    <w:rsid w:val="006600C5"/>
    <w:rsid w:val="00661F63"/>
    <w:rsid w:val="00662469"/>
    <w:rsid w:val="00662498"/>
    <w:rsid w:val="00662547"/>
    <w:rsid w:val="006625BA"/>
    <w:rsid w:val="0066264F"/>
    <w:rsid w:val="00662FE1"/>
    <w:rsid w:val="00663455"/>
    <w:rsid w:val="0066360D"/>
    <w:rsid w:val="00663ED4"/>
    <w:rsid w:val="00664488"/>
    <w:rsid w:val="0066537F"/>
    <w:rsid w:val="00666797"/>
    <w:rsid w:val="00667288"/>
    <w:rsid w:val="006675AB"/>
    <w:rsid w:val="0067033C"/>
    <w:rsid w:val="00670650"/>
    <w:rsid w:val="00670C46"/>
    <w:rsid w:val="0067142A"/>
    <w:rsid w:val="00671B28"/>
    <w:rsid w:val="00671F39"/>
    <w:rsid w:val="00672A2D"/>
    <w:rsid w:val="00672BFF"/>
    <w:rsid w:val="00673A7F"/>
    <w:rsid w:val="00673ACB"/>
    <w:rsid w:val="00673EB5"/>
    <w:rsid w:val="00673EED"/>
    <w:rsid w:val="0067465F"/>
    <w:rsid w:val="00674F68"/>
    <w:rsid w:val="0067566B"/>
    <w:rsid w:val="006756D9"/>
    <w:rsid w:val="00675FFC"/>
    <w:rsid w:val="0067611C"/>
    <w:rsid w:val="006766DC"/>
    <w:rsid w:val="00676BA3"/>
    <w:rsid w:val="00676E08"/>
    <w:rsid w:val="0067731E"/>
    <w:rsid w:val="00677481"/>
    <w:rsid w:val="00677A62"/>
    <w:rsid w:val="00677F9E"/>
    <w:rsid w:val="0068012B"/>
    <w:rsid w:val="00680379"/>
    <w:rsid w:val="006807C0"/>
    <w:rsid w:val="00680FBF"/>
    <w:rsid w:val="00682A1D"/>
    <w:rsid w:val="00682EF6"/>
    <w:rsid w:val="00683478"/>
    <w:rsid w:val="0068366E"/>
    <w:rsid w:val="006836D1"/>
    <w:rsid w:val="00683EBE"/>
    <w:rsid w:val="00683ED5"/>
    <w:rsid w:val="00684452"/>
    <w:rsid w:val="006847A5"/>
    <w:rsid w:val="00684BA0"/>
    <w:rsid w:val="00685194"/>
    <w:rsid w:val="00685396"/>
    <w:rsid w:val="006857BB"/>
    <w:rsid w:val="00685D46"/>
    <w:rsid w:val="00686159"/>
    <w:rsid w:val="006861D0"/>
    <w:rsid w:val="00686457"/>
    <w:rsid w:val="00690017"/>
    <w:rsid w:val="006906A3"/>
    <w:rsid w:val="0069121D"/>
    <w:rsid w:val="00691503"/>
    <w:rsid w:val="00692151"/>
    <w:rsid w:val="00693039"/>
    <w:rsid w:val="006938DC"/>
    <w:rsid w:val="006950A8"/>
    <w:rsid w:val="0069522A"/>
    <w:rsid w:val="00695611"/>
    <w:rsid w:val="00695D64"/>
    <w:rsid w:val="00697165"/>
    <w:rsid w:val="00697B17"/>
    <w:rsid w:val="00697D19"/>
    <w:rsid w:val="006A14C2"/>
    <w:rsid w:val="006A181F"/>
    <w:rsid w:val="006A1973"/>
    <w:rsid w:val="006A1B4E"/>
    <w:rsid w:val="006A1F9F"/>
    <w:rsid w:val="006A25FF"/>
    <w:rsid w:val="006A2A33"/>
    <w:rsid w:val="006A3458"/>
    <w:rsid w:val="006A35D8"/>
    <w:rsid w:val="006A4CB8"/>
    <w:rsid w:val="006A55F4"/>
    <w:rsid w:val="006A5647"/>
    <w:rsid w:val="006A5ADC"/>
    <w:rsid w:val="006A5B2E"/>
    <w:rsid w:val="006A6347"/>
    <w:rsid w:val="006A6359"/>
    <w:rsid w:val="006A65B1"/>
    <w:rsid w:val="006A77C8"/>
    <w:rsid w:val="006A7F70"/>
    <w:rsid w:val="006B0351"/>
    <w:rsid w:val="006B0627"/>
    <w:rsid w:val="006B0C85"/>
    <w:rsid w:val="006B0D38"/>
    <w:rsid w:val="006B18DF"/>
    <w:rsid w:val="006B27A5"/>
    <w:rsid w:val="006B2873"/>
    <w:rsid w:val="006B28B0"/>
    <w:rsid w:val="006B3752"/>
    <w:rsid w:val="006B552D"/>
    <w:rsid w:val="006B5E8C"/>
    <w:rsid w:val="006B62B5"/>
    <w:rsid w:val="006B631E"/>
    <w:rsid w:val="006B73F9"/>
    <w:rsid w:val="006B7EC0"/>
    <w:rsid w:val="006B7F92"/>
    <w:rsid w:val="006C0267"/>
    <w:rsid w:val="006C1007"/>
    <w:rsid w:val="006C224A"/>
    <w:rsid w:val="006C3544"/>
    <w:rsid w:val="006C3CAA"/>
    <w:rsid w:val="006C3D98"/>
    <w:rsid w:val="006C422C"/>
    <w:rsid w:val="006C47CE"/>
    <w:rsid w:val="006C4D83"/>
    <w:rsid w:val="006C525C"/>
    <w:rsid w:val="006C5CE2"/>
    <w:rsid w:val="006C6A95"/>
    <w:rsid w:val="006C6AB6"/>
    <w:rsid w:val="006C7A1F"/>
    <w:rsid w:val="006C7D21"/>
    <w:rsid w:val="006D0ECA"/>
    <w:rsid w:val="006D0F0A"/>
    <w:rsid w:val="006D2DB4"/>
    <w:rsid w:val="006D3D6B"/>
    <w:rsid w:val="006D42D6"/>
    <w:rsid w:val="006D437A"/>
    <w:rsid w:val="006D47C5"/>
    <w:rsid w:val="006D4906"/>
    <w:rsid w:val="006D582E"/>
    <w:rsid w:val="006D5A96"/>
    <w:rsid w:val="006D6148"/>
    <w:rsid w:val="006D66FB"/>
    <w:rsid w:val="006D6F7B"/>
    <w:rsid w:val="006D7DDB"/>
    <w:rsid w:val="006D7E09"/>
    <w:rsid w:val="006E0290"/>
    <w:rsid w:val="006E0A19"/>
    <w:rsid w:val="006E0EE8"/>
    <w:rsid w:val="006E0F68"/>
    <w:rsid w:val="006E1779"/>
    <w:rsid w:val="006E17F2"/>
    <w:rsid w:val="006E1D5C"/>
    <w:rsid w:val="006E2A17"/>
    <w:rsid w:val="006E2A1E"/>
    <w:rsid w:val="006E3536"/>
    <w:rsid w:val="006E3621"/>
    <w:rsid w:val="006E37D3"/>
    <w:rsid w:val="006E41ED"/>
    <w:rsid w:val="006E619B"/>
    <w:rsid w:val="006E65AE"/>
    <w:rsid w:val="006E66E0"/>
    <w:rsid w:val="006E6CD2"/>
    <w:rsid w:val="006E6E00"/>
    <w:rsid w:val="006E6EB0"/>
    <w:rsid w:val="006F0314"/>
    <w:rsid w:val="006F2B4E"/>
    <w:rsid w:val="006F305B"/>
    <w:rsid w:val="006F315C"/>
    <w:rsid w:val="006F3612"/>
    <w:rsid w:val="006F3759"/>
    <w:rsid w:val="006F4549"/>
    <w:rsid w:val="006F4715"/>
    <w:rsid w:val="006F4A6F"/>
    <w:rsid w:val="006F5F8A"/>
    <w:rsid w:val="006F6568"/>
    <w:rsid w:val="006F6929"/>
    <w:rsid w:val="006F738C"/>
    <w:rsid w:val="006F76F6"/>
    <w:rsid w:val="0070016E"/>
    <w:rsid w:val="0070069B"/>
    <w:rsid w:val="00701307"/>
    <w:rsid w:val="00701A40"/>
    <w:rsid w:val="007023D7"/>
    <w:rsid w:val="00703918"/>
    <w:rsid w:val="00706910"/>
    <w:rsid w:val="0070758E"/>
    <w:rsid w:val="00707AA5"/>
    <w:rsid w:val="00710459"/>
    <w:rsid w:val="007107D7"/>
    <w:rsid w:val="00711749"/>
    <w:rsid w:val="0071176A"/>
    <w:rsid w:val="00711A54"/>
    <w:rsid w:val="00711CA6"/>
    <w:rsid w:val="00711D10"/>
    <w:rsid w:val="00712ED9"/>
    <w:rsid w:val="00712F05"/>
    <w:rsid w:val="007134B2"/>
    <w:rsid w:val="00713600"/>
    <w:rsid w:val="007138EC"/>
    <w:rsid w:val="007138F5"/>
    <w:rsid w:val="0071450C"/>
    <w:rsid w:val="00714F3D"/>
    <w:rsid w:val="00714FA5"/>
    <w:rsid w:val="00715668"/>
    <w:rsid w:val="00715C94"/>
    <w:rsid w:val="007169A5"/>
    <w:rsid w:val="00720CFC"/>
    <w:rsid w:val="00720DEC"/>
    <w:rsid w:val="00721225"/>
    <w:rsid w:val="007212CC"/>
    <w:rsid w:val="007216F7"/>
    <w:rsid w:val="007218C5"/>
    <w:rsid w:val="00721DDA"/>
    <w:rsid w:val="007222F6"/>
    <w:rsid w:val="007225AA"/>
    <w:rsid w:val="00722752"/>
    <w:rsid w:val="00722B56"/>
    <w:rsid w:val="0072301B"/>
    <w:rsid w:val="007231D4"/>
    <w:rsid w:val="00723642"/>
    <w:rsid w:val="00724CB6"/>
    <w:rsid w:val="00725251"/>
    <w:rsid w:val="00725B2F"/>
    <w:rsid w:val="00725B6B"/>
    <w:rsid w:val="00725CD4"/>
    <w:rsid w:val="00725CE1"/>
    <w:rsid w:val="00726533"/>
    <w:rsid w:val="0073053F"/>
    <w:rsid w:val="00730A71"/>
    <w:rsid w:val="007313F2"/>
    <w:rsid w:val="00731702"/>
    <w:rsid w:val="00731D10"/>
    <w:rsid w:val="00731FBE"/>
    <w:rsid w:val="00732410"/>
    <w:rsid w:val="00732525"/>
    <w:rsid w:val="007325B5"/>
    <w:rsid w:val="00732977"/>
    <w:rsid w:val="00732C09"/>
    <w:rsid w:val="00733927"/>
    <w:rsid w:val="00735264"/>
    <w:rsid w:val="0073541E"/>
    <w:rsid w:val="00735558"/>
    <w:rsid w:val="007362B6"/>
    <w:rsid w:val="007369BE"/>
    <w:rsid w:val="00736DA2"/>
    <w:rsid w:val="007376EC"/>
    <w:rsid w:val="00737721"/>
    <w:rsid w:val="00737777"/>
    <w:rsid w:val="00737A67"/>
    <w:rsid w:val="00740297"/>
    <w:rsid w:val="00740529"/>
    <w:rsid w:val="00740E5F"/>
    <w:rsid w:val="00741734"/>
    <w:rsid w:val="00741A35"/>
    <w:rsid w:val="00741F06"/>
    <w:rsid w:val="00742265"/>
    <w:rsid w:val="007422B5"/>
    <w:rsid w:val="00743612"/>
    <w:rsid w:val="00743F33"/>
    <w:rsid w:val="00744263"/>
    <w:rsid w:val="00744E73"/>
    <w:rsid w:val="0074512F"/>
    <w:rsid w:val="0074546C"/>
    <w:rsid w:val="00745523"/>
    <w:rsid w:val="00745564"/>
    <w:rsid w:val="007457A1"/>
    <w:rsid w:val="0074592F"/>
    <w:rsid w:val="00746622"/>
    <w:rsid w:val="007467BA"/>
    <w:rsid w:val="00746857"/>
    <w:rsid w:val="00746B5D"/>
    <w:rsid w:val="00747249"/>
    <w:rsid w:val="0074789F"/>
    <w:rsid w:val="00747A4C"/>
    <w:rsid w:val="0075086C"/>
    <w:rsid w:val="00750B64"/>
    <w:rsid w:val="00750BA0"/>
    <w:rsid w:val="007517A4"/>
    <w:rsid w:val="00752BDB"/>
    <w:rsid w:val="00752F0B"/>
    <w:rsid w:val="007532BF"/>
    <w:rsid w:val="0075351C"/>
    <w:rsid w:val="00753AD0"/>
    <w:rsid w:val="00754909"/>
    <w:rsid w:val="007550E5"/>
    <w:rsid w:val="0075612E"/>
    <w:rsid w:val="00756598"/>
    <w:rsid w:val="00756AEF"/>
    <w:rsid w:val="00756EFB"/>
    <w:rsid w:val="007571A4"/>
    <w:rsid w:val="007606EC"/>
    <w:rsid w:val="00761342"/>
    <w:rsid w:val="007615DC"/>
    <w:rsid w:val="00761CB9"/>
    <w:rsid w:val="007626E5"/>
    <w:rsid w:val="00762BA0"/>
    <w:rsid w:val="00762EF8"/>
    <w:rsid w:val="007631F2"/>
    <w:rsid w:val="007634C9"/>
    <w:rsid w:val="00763A5A"/>
    <w:rsid w:val="00763E1A"/>
    <w:rsid w:val="0076429B"/>
    <w:rsid w:val="00765C39"/>
    <w:rsid w:val="00765EEC"/>
    <w:rsid w:val="007666F9"/>
    <w:rsid w:val="00767181"/>
    <w:rsid w:val="00767673"/>
    <w:rsid w:val="00767BD7"/>
    <w:rsid w:val="0077009B"/>
    <w:rsid w:val="007729A0"/>
    <w:rsid w:val="007737A0"/>
    <w:rsid w:val="007739D9"/>
    <w:rsid w:val="00773AE1"/>
    <w:rsid w:val="00773BB0"/>
    <w:rsid w:val="00774193"/>
    <w:rsid w:val="00775EAB"/>
    <w:rsid w:val="00776497"/>
    <w:rsid w:val="007766D5"/>
    <w:rsid w:val="00776F19"/>
    <w:rsid w:val="00776F6F"/>
    <w:rsid w:val="0077706F"/>
    <w:rsid w:val="00777A6C"/>
    <w:rsid w:val="00777BCC"/>
    <w:rsid w:val="007806A1"/>
    <w:rsid w:val="00780723"/>
    <w:rsid w:val="0078078C"/>
    <w:rsid w:val="00780E59"/>
    <w:rsid w:val="0078220C"/>
    <w:rsid w:val="00782CCE"/>
    <w:rsid w:val="00783238"/>
    <w:rsid w:val="00783393"/>
    <w:rsid w:val="00785155"/>
    <w:rsid w:val="007856FA"/>
    <w:rsid w:val="00786B81"/>
    <w:rsid w:val="00786D4A"/>
    <w:rsid w:val="0078707C"/>
    <w:rsid w:val="00791EDE"/>
    <w:rsid w:val="007920EC"/>
    <w:rsid w:val="0079279C"/>
    <w:rsid w:val="007928E5"/>
    <w:rsid w:val="007932D4"/>
    <w:rsid w:val="00793C1B"/>
    <w:rsid w:val="00793F7B"/>
    <w:rsid w:val="007944B5"/>
    <w:rsid w:val="0079543E"/>
    <w:rsid w:val="0079577A"/>
    <w:rsid w:val="0079578D"/>
    <w:rsid w:val="00795863"/>
    <w:rsid w:val="0079638F"/>
    <w:rsid w:val="00796459"/>
    <w:rsid w:val="00796963"/>
    <w:rsid w:val="00796CAF"/>
    <w:rsid w:val="00796E62"/>
    <w:rsid w:val="007977E9"/>
    <w:rsid w:val="007977FC"/>
    <w:rsid w:val="007A04A1"/>
    <w:rsid w:val="007A063C"/>
    <w:rsid w:val="007A0A4A"/>
    <w:rsid w:val="007A149F"/>
    <w:rsid w:val="007A14FF"/>
    <w:rsid w:val="007A15F8"/>
    <w:rsid w:val="007A19B4"/>
    <w:rsid w:val="007A1AA2"/>
    <w:rsid w:val="007A1D6F"/>
    <w:rsid w:val="007A1F8D"/>
    <w:rsid w:val="007A2034"/>
    <w:rsid w:val="007A22AC"/>
    <w:rsid w:val="007A2A32"/>
    <w:rsid w:val="007A374E"/>
    <w:rsid w:val="007A3937"/>
    <w:rsid w:val="007A4DA8"/>
    <w:rsid w:val="007A5AD0"/>
    <w:rsid w:val="007A5FD1"/>
    <w:rsid w:val="007A6F89"/>
    <w:rsid w:val="007A7178"/>
    <w:rsid w:val="007A74DC"/>
    <w:rsid w:val="007A7B30"/>
    <w:rsid w:val="007B0CA3"/>
    <w:rsid w:val="007B0ED2"/>
    <w:rsid w:val="007B1F1D"/>
    <w:rsid w:val="007B2138"/>
    <w:rsid w:val="007B26A1"/>
    <w:rsid w:val="007B389D"/>
    <w:rsid w:val="007B3D38"/>
    <w:rsid w:val="007B4609"/>
    <w:rsid w:val="007B4676"/>
    <w:rsid w:val="007B4BD3"/>
    <w:rsid w:val="007B507C"/>
    <w:rsid w:val="007B56DE"/>
    <w:rsid w:val="007B5A02"/>
    <w:rsid w:val="007B5F06"/>
    <w:rsid w:val="007B6518"/>
    <w:rsid w:val="007B65A0"/>
    <w:rsid w:val="007B6A85"/>
    <w:rsid w:val="007B6F37"/>
    <w:rsid w:val="007B7184"/>
    <w:rsid w:val="007B7AA8"/>
    <w:rsid w:val="007C09E2"/>
    <w:rsid w:val="007C14B0"/>
    <w:rsid w:val="007C24D3"/>
    <w:rsid w:val="007C2B07"/>
    <w:rsid w:val="007C38F2"/>
    <w:rsid w:val="007C3BED"/>
    <w:rsid w:val="007C3EA0"/>
    <w:rsid w:val="007C4319"/>
    <w:rsid w:val="007C4F0C"/>
    <w:rsid w:val="007C511B"/>
    <w:rsid w:val="007C5F2F"/>
    <w:rsid w:val="007C639A"/>
    <w:rsid w:val="007C79AC"/>
    <w:rsid w:val="007D00DC"/>
    <w:rsid w:val="007D054E"/>
    <w:rsid w:val="007D08F0"/>
    <w:rsid w:val="007D0C32"/>
    <w:rsid w:val="007D0DF4"/>
    <w:rsid w:val="007D17B2"/>
    <w:rsid w:val="007D1BF0"/>
    <w:rsid w:val="007D3328"/>
    <w:rsid w:val="007D3555"/>
    <w:rsid w:val="007D38DE"/>
    <w:rsid w:val="007D40F8"/>
    <w:rsid w:val="007D44F2"/>
    <w:rsid w:val="007D48AB"/>
    <w:rsid w:val="007D4A5D"/>
    <w:rsid w:val="007D5391"/>
    <w:rsid w:val="007D5420"/>
    <w:rsid w:val="007D592D"/>
    <w:rsid w:val="007D619D"/>
    <w:rsid w:val="007D62ED"/>
    <w:rsid w:val="007D679B"/>
    <w:rsid w:val="007D6F28"/>
    <w:rsid w:val="007D7B34"/>
    <w:rsid w:val="007D7B44"/>
    <w:rsid w:val="007D7C56"/>
    <w:rsid w:val="007D7EC0"/>
    <w:rsid w:val="007E08E1"/>
    <w:rsid w:val="007E1594"/>
    <w:rsid w:val="007E221B"/>
    <w:rsid w:val="007E27A6"/>
    <w:rsid w:val="007E290B"/>
    <w:rsid w:val="007E4EC5"/>
    <w:rsid w:val="007E55FB"/>
    <w:rsid w:val="007E5A34"/>
    <w:rsid w:val="007E5E45"/>
    <w:rsid w:val="007E65FA"/>
    <w:rsid w:val="007E6EBF"/>
    <w:rsid w:val="007E79C0"/>
    <w:rsid w:val="007E7E93"/>
    <w:rsid w:val="007F082E"/>
    <w:rsid w:val="007F144E"/>
    <w:rsid w:val="007F199E"/>
    <w:rsid w:val="007F1B57"/>
    <w:rsid w:val="007F2775"/>
    <w:rsid w:val="007F2E89"/>
    <w:rsid w:val="007F2EB1"/>
    <w:rsid w:val="007F365A"/>
    <w:rsid w:val="007F3AA9"/>
    <w:rsid w:val="007F4430"/>
    <w:rsid w:val="007F5455"/>
    <w:rsid w:val="007F63A6"/>
    <w:rsid w:val="007F6C12"/>
    <w:rsid w:val="007F735C"/>
    <w:rsid w:val="007F760D"/>
    <w:rsid w:val="007F785F"/>
    <w:rsid w:val="00800711"/>
    <w:rsid w:val="0080091A"/>
    <w:rsid w:val="00800D4C"/>
    <w:rsid w:val="00800FC4"/>
    <w:rsid w:val="00801762"/>
    <w:rsid w:val="00801904"/>
    <w:rsid w:val="00801931"/>
    <w:rsid w:val="00801C3D"/>
    <w:rsid w:val="0080221B"/>
    <w:rsid w:val="008029B9"/>
    <w:rsid w:val="00802B2B"/>
    <w:rsid w:val="008035E4"/>
    <w:rsid w:val="0080571F"/>
    <w:rsid w:val="008057B0"/>
    <w:rsid w:val="008058B2"/>
    <w:rsid w:val="008058B3"/>
    <w:rsid w:val="00805B69"/>
    <w:rsid w:val="00805D9D"/>
    <w:rsid w:val="00806110"/>
    <w:rsid w:val="00806355"/>
    <w:rsid w:val="00806899"/>
    <w:rsid w:val="008072CF"/>
    <w:rsid w:val="00807CD2"/>
    <w:rsid w:val="00807D45"/>
    <w:rsid w:val="00810908"/>
    <w:rsid w:val="00810A4D"/>
    <w:rsid w:val="00811D98"/>
    <w:rsid w:val="00812263"/>
    <w:rsid w:val="00812B2D"/>
    <w:rsid w:val="00812C8C"/>
    <w:rsid w:val="00813E54"/>
    <w:rsid w:val="008143AE"/>
    <w:rsid w:val="00814989"/>
    <w:rsid w:val="008158E7"/>
    <w:rsid w:val="00815B0C"/>
    <w:rsid w:val="00815B84"/>
    <w:rsid w:val="00816096"/>
    <w:rsid w:val="00816477"/>
    <w:rsid w:val="008165FC"/>
    <w:rsid w:val="00816A43"/>
    <w:rsid w:val="00816C3A"/>
    <w:rsid w:val="008171B7"/>
    <w:rsid w:val="0082025E"/>
    <w:rsid w:val="0082045D"/>
    <w:rsid w:val="008204A0"/>
    <w:rsid w:val="008206F2"/>
    <w:rsid w:val="00820F39"/>
    <w:rsid w:val="00821125"/>
    <w:rsid w:val="0082156D"/>
    <w:rsid w:val="00821C33"/>
    <w:rsid w:val="008226AE"/>
    <w:rsid w:val="00822CCD"/>
    <w:rsid w:val="00822FF3"/>
    <w:rsid w:val="00823697"/>
    <w:rsid w:val="008238E7"/>
    <w:rsid w:val="00823CED"/>
    <w:rsid w:val="00824325"/>
    <w:rsid w:val="00824B39"/>
    <w:rsid w:val="0082677B"/>
    <w:rsid w:val="00827B29"/>
    <w:rsid w:val="00827F34"/>
    <w:rsid w:val="00830761"/>
    <w:rsid w:val="0083077E"/>
    <w:rsid w:val="0083134A"/>
    <w:rsid w:val="008316D6"/>
    <w:rsid w:val="00831D7D"/>
    <w:rsid w:val="00833701"/>
    <w:rsid w:val="008341BD"/>
    <w:rsid w:val="008344C4"/>
    <w:rsid w:val="00834623"/>
    <w:rsid w:val="008355FB"/>
    <w:rsid w:val="00835820"/>
    <w:rsid w:val="00835C35"/>
    <w:rsid w:val="008361CF"/>
    <w:rsid w:val="0083742B"/>
    <w:rsid w:val="00840248"/>
    <w:rsid w:val="008418BA"/>
    <w:rsid w:val="00841C49"/>
    <w:rsid w:val="008423C2"/>
    <w:rsid w:val="008428D1"/>
    <w:rsid w:val="0084339A"/>
    <w:rsid w:val="00843686"/>
    <w:rsid w:val="00843BFB"/>
    <w:rsid w:val="0084417F"/>
    <w:rsid w:val="00844881"/>
    <w:rsid w:val="0084496C"/>
    <w:rsid w:val="0084546F"/>
    <w:rsid w:val="00845672"/>
    <w:rsid w:val="00845A06"/>
    <w:rsid w:val="0084669A"/>
    <w:rsid w:val="00846D9D"/>
    <w:rsid w:val="0084714C"/>
    <w:rsid w:val="00847477"/>
    <w:rsid w:val="0084772F"/>
    <w:rsid w:val="00847C14"/>
    <w:rsid w:val="00847CF6"/>
    <w:rsid w:val="0085008F"/>
    <w:rsid w:val="00850A47"/>
    <w:rsid w:val="00850FAC"/>
    <w:rsid w:val="00852C3B"/>
    <w:rsid w:val="00853A9F"/>
    <w:rsid w:val="00853B12"/>
    <w:rsid w:val="008556E8"/>
    <w:rsid w:val="00856AD7"/>
    <w:rsid w:val="00857BE8"/>
    <w:rsid w:val="00860DBB"/>
    <w:rsid w:val="008613F8"/>
    <w:rsid w:val="008615E2"/>
    <w:rsid w:val="00861F2F"/>
    <w:rsid w:val="0086203F"/>
    <w:rsid w:val="008621A2"/>
    <w:rsid w:val="00862624"/>
    <w:rsid w:val="00862C9B"/>
    <w:rsid w:val="00863905"/>
    <w:rsid w:val="008639D6"/>
    <w:rsid w:val="00864581"/>
    <w:rsid w:val="00864CB9"/>
    <w:rsid w:val="008661D0"/>
    <w:rsid w:val="0086635B"/>
    <w:rsid w:val="008667F3"/>
    <w:rsid w:val="00866B52"/>
    <w:rsid w:val="00866C76"/>
    <w:rsid w:val="00866CCA"/>
    <w:rsid w:val="00866D2F"/>
    <w:rsid w:val="008677C1"/>
    <w:rsid w:val="00867B27"/>
    <w:rsid w:val="00867F8A"/>
    <w:rsid w:val="00870629"/>
    <w:rsid w:val="00870672"/>
    <w:rsid w:val="008708F9"/>
    <w:rsid w:val="00870C0D"/>
    <w:rsid w:val="00871021"/>
    <w:rsid w:val="00871493"/>
    <w:rsid w:val="00871673"/>
    <w:rsid w:val="00871C99"/>
    <w:rsid w:val="00871E3F"/>
    <w:rsid w:val="008720F4"/>
    <w:rsid w:val="0087224E"/>
    <w:rsid w:val="00872A6E"/>
    <w:rsid w:val="00872AC0"/>
    <w:rsid w:val="00873179"/>
    <w:rsid w:val="00874420"/>
    <w:rsid w:val="00874697"/>
    <w:rsid w:val="00874726"/>
    <w:rsid w:val="00874E2C"/>
    <w:rsid w:val="008755C2"/>
    <w:rsid w:val="008758C5"/>
    <w:rsid w:val="008776CF"/>
    <w:rsid w:val="0087779F"/>
    <w:rsid w:val="00877BD3"/>
    <w:rsid w:val="0088066F"/>
    <w:rsid w:val="008806CC"/>
    <w:rsid w:val="00880FE0"/>
    <w:rsid w:val="0088135F"/>
    <w:rsid w:val="00881885"/>
    <w:rsid w:val="00881E92"/>
    <w:rsid w:val="008825BA"/>
    <w:rsid w:val="0088374D"/>
    <w:rsid w:val="0088477D"/>
    <w:rsid w:val="00885275"/>
    <w:rsid w:val="0088547E"/>
    <w:rsid w:val="0088575D"/>
    <w:rsid w:val="00885CC0"/>
    <w:rsid w:val="008862EA"/>
    <w:rsid w:val="00886937"/>
    <w:rsid w:val="00886A08"/>
    <w:rsid w:val="00886B95"/>
    <w:rsid w:val="008901A4"/>
    <w:rsid w:val="008901B4"/>
    <w:rsid w:val="008903E0"/>
    <w:rsid w:val="008905A3"/>
    <w:rsid w:val="00891ADD"/>
    <w:rsid w:val="00891D3C"/>
    <w:rsid w:val="0089253D"/>
    <w:rsid w:val="008928BF"/>
    <w:rsid w:val="00892A78"/>
    <w:rsid w:val="00892C71"/>
    <w:rsid w:val="00892D54"/>
    <w:rsid w:val="00892FFB"/>
    <w:rsid w:val="00893A68"/>
    <w:rsid w:val="00893A85"/>
    <w:rsid w:val="00893BF8"/>
    <w:rsid w:val="00894B5B"/>
    <w:rsid w:val="008953C2"/>
    <w:rsid w:val="00896489"/>
    <w:rsid w:val="008965C4"/>
    <w:rsid w:val="00896A9C"/>
    <w:rsid w:val="008974A9"/>
    <w:rsid w:val="00897AA4"/>
    <w:rsid w:val="00897C8B"/>
    <w:rsid w:val="008A0065"/>
    <w:rsid w:val="008A075B"/>
    <w:rsid w:val="008A11C8"/>
    <w:rsid w:val="008A3AA2"/>
    <w:rsid w:val="008A3BD0"/>
    <w:rsid w:val="008A4292"/>
    <w:rsid w:val="008A48E7"/>
    <w:rsid w:val="008A4A27"/>
    <w:rsid w:val="008A4A6C"/>
    <w:rsid w:val="008A4CC7"/>
    <w:rsid w:val="008A50D6"/>
    <w:rsid w:val="008A58E5"/>
    <w:rsid w:val="008A5989"/>
    <w:rsid w:val="008A669A"/>
    <w:rsid w:val="008A6DC2"/>
    <w:rsid w:val="008A6DD2"/>
    <w:rsid w:val="008A6EAC"/>
    <w:rsid w:val="008A720B"/>
    <w:rsid w:val="008A740D"/>
    <w:rsid w:val="008A7CC4"/>
    <w:rsid w:val="008B1100"/>
    <w:rsid w:val="008B288F"/>
    <w:rsid w:val="008B29BB"/>
    <w:rsid w:val="008B2DFE"/>
    <w:rsid w:val="008B3314"/>
    <w:rsid w:val="008B3390"/>
    <w:rsid w:val="008B3410"/>
    <w:rsid w:val="008B3D26"/>
    <w:rsid w:val="008B3EF5"/>
    <w:rsid w:val="008B4100"/>
    <w:rsid w:val="008B43B6"/>
    <w:rsid w:val="008B43EF"/>
    <w:rsid w:val="008B5A95"/>
    <w:rsid w:val="008B5D27"/>
    <w:rsid w:val="008B66C3"/>
    <w:rsid w:val="008B6F29"/>
    <w:rsid w:val="008B7912"/>
    <w:rsid w:val="008B7F69"/>
    <w:rsid w:val="008C041F"/>
    <w:rsid w:val="008C05FB"/>
    <w:rsid w:val="008C190A"/>
    <w:rsid w:val="008C2145"/>
    <w:rsid w:val="008C25C4"/>
    <w:rsid w:val="008C2B41"/>
    <w:rsid w:val="008C2BDA"/>
    <w:rsid w:val="008C2BEB"/>
    <w:rsid w:val="008C2CB4"/>
    <w:rsid w:val="008C432A"/>
    <w:rsid w:val="008C46B8"/>
    <w:rsid w:val="008C481B"/>
    <w:rsid w:val="008C5320"/>
    <w:rsid w:val="008C549C"/>
    <w:rsid w:val="008C5E3B"/>
    <w:rsid w:val="008C7014"/>
    <w:rsid w:val="008D0944"/>
    <w:rsid w:val="008D1707"/>
    <w:rsid w:val="008D18A5"/>
    <w:rsid w:val="008D198B"/>
    <w:rsid w:val="008D2B19"/>
    <w:rsid w:val="008D3751"/>
    <w:rsid w:val="008D45F4"/>
    <w:rsid w:val="008D4C2C"/>
    <w:rsid w:val="008D4E44"/>
    <w:rsid w:val="008D525D"/>
    <w:rsid w:val="008D58CB"/>
    <w:rsid w:val="008D5911"/>
    <w:rsid w:val="008D6066"/>
    <w:rsid w:val="008D613E"/>
    <w:rsid w:val="008D642A"/>
    <w:rsid w:val="008D69C0"/>
    <w:rsid w:val="008D6D90"/>
    <w:rsid w:val="008D772B"/>
    <w:rsid w:val="008D7822"/>
    <w:rsid w:val="008D7A68"/>
    <w:rsid w:val="008E0383"/>
    <w:rsid w:val="008E063C"/>
    <w:rsid w:val="008E101F"/>
    <w:rsid w:val="008E1D30"/>
    <w:rsid w:val="008E1D57"/>
    <w:rsid w:val="008E20D6"/>
    <w:rsid w:val="008E2A52"/>
    <w:rsid w:val="008E34B8"/>
    <w:rsid w:val="008E361E"/>
    <w:rsid w:val="008E37D4"/>
    <w:rsid w:val="008E3C8F"/>
    <w:rsid w:val="008E41B4"/>
    <w:rsid w:val="008E433B"/>
    <w:rsid w:val="008E435D"/>
    <w:rsid w:val="008E44DB"/>
    <w:rsid w:val="008E4680"/>
    <w:rsid w:val="008E4E1D"/>
    <w:rsid w:val="008E625A"/>
    <w:rsid w:val="008E63C8"/>
    <w:rsid w:val="008E647F"/>
    <w:rsid w:val="008E6847"/>
    <w:rsid w:val="008E71E5"/>
    <w:rsid w:val="008E79E6"/>
    <w:rsid w:val="008F02F2"/>
    <w:rsid w:val="008F038F"/>
    <w:rsid w:val="008F0B25"/>
    <w:rsid w:val="008F0D96"/>
    <w:rsid w:val="008F1E61"/>
    <w:rsid w:val="008F2B1E"/>
    <w:rsid w:val="008F2B23"/>
    <w:rsid w:val="008F317D"/>
    <w:rsid w:val="008F4AEE"/>
    <w:rsid w:val="008F4FB2"/>
    <w:rsid w:val="008F5791"/>
    <w:rsid w:val="008F5B31"/>
    <w:rsid w:val="008F5C1C"/>
    <w:rsid w:val="008F66DE"/>
    <w:rsid w:val="008F7178"/>
    <w:rsid w:val="008F726B"/>
    <w:rsid w:val="008F75E6"/>
    <w:rsid w:val="008F7663"/>
    <w:rsid w:val="0090003E"/>
    <w:rsid w:val="00900AB0"/>
    <w:rsid w:val="00901E19"/>
    <w:rsid w:val="00901F71"/>
    <w:rsid w:val="009021AF"/>
    <w:rsid w:val="00902607"/>
    <w:rsid w:val="00903030"/>
    <w:rsid w:val="00903C50"/>
    <w:rsid w:val="0090418D"/>
    <w:rsid w:val="00904692"/>
    <w:rsid w:val="00904831"/>
    <w:rsid w:val="00905518"/>
    <w:rsid w:val="00905926"/>
    <w:rsid w:val="009060CE"/>
    <w:rsid w:val="009067F2"/>
    <w:rsid w:val="00907439"/>
    <w:rsid w:val="0090769F"/>
    <w:rsid w:val="00907A9D"/>
    <w:rsid w:val="00907D7B"/>
    <w:rsid w:val="009107C6"/>
    <w:rsid w:val="00910D92"/>
    <w:rsid w:val="00912B80"/>
    <w:rsid w:val="00912EFB"/>
    <w:rsid w:val="00913929"/>
    <w:rsid w:val="00913942"/>
    <w:rsid w:val="00913CDC"/>
    <w:rsid w:val="0091414A"/>
    <w:rsid w:val="00914372"/>
    <w:rsid w:val="009152AA"/>
    <w:rsid w:val="0091592A"/>
    <w:rsid w:val="00916356"/>
    <w:rsid w:val="00917027"/>
    <w:rsid w:val="00917D06"/>
    <w:rsid w:val="00920D67"/>
    <w:rsid w:val="00920DEF"/>
    <w:rsid w:val="009228D1"/>
    <w:rsid w:val="009235E3"/>
    <w:rsid w:val="00924981"/>
    <w:rsid w:val="00925609"/>
    <w:rsid w:val="009259CD"/>
    <w:rsid w:val="00925BD5"/>
    <w:rsid w:val="00925F86"/>
    <w:rsid w:val="00926AAA"/>
    <w:rsid w:val="00926D5F"/>
    <w:rsid w:val="009310A8"/>
    <w:rsid w:val="00931374"/>
    <w:rsid w:val="00931F9B"/>
    <w:rsid w:val="00932378"/>
    <w:rsid w:val="009325AF"/>
    <w:rsid w:val="00932C06"/>
    <w:rsid w:val="00932D38"/>
    <w:rsid w:val="009331A9"/>
    <w:rsid w:val="00933487"/>
    <w:rsid w:val="00933871"/>
    <w:rsid w:val="009339E9"/>
    <w:rsid w:val="00934B6F"/>
    <w:rsid w:val="00935C63"/>
    <w:rsid w:val="00936118"/>
    <w:rsid w:val="00936D47"/>
    <w:rsid w:val="00937791"/>
    <w:rsid w:val="00937F01"/>
    <w:rsid w:val="00937FFA"/>
    <w:rsid w:val="0094004D"/>
    <w:rsid w:val="009405CD"/>
    <w:rsid w:val="00940E77"/>
    <w:rsid w:val="009410C3"/>
    <w:rsid w:val="009412E6"/>
    <w:rsid w:val="0094148A"/>
    <w:rsid w:val="00942BEF"/>
    <w:rsid w:val="009433F9"/>
    <w:rsid w:val="00943C05"/>
    <w:rsid w:val="0094424F"/>
    <w:rsid w:val="009444E8"/>
    <w:rsid w:val="00944FDF"/>
    <w:rsid w:val="00945026"/>
    <w:rsid w:val="009452B4"/>
    <w:rsid w:val="009459AE"/>
    <w:rsid w:val="00945B8E"/>
    <w:rsid w:val="00945E62"/>
    <w:rsid w:val="009463A3"/>
    <w:rsid w:val="00946852"/>
    <w:rsid w:val="00946E55"/>
    <w:rsid w:val="00947524"/>
    <w:rsid w:val="00947680"/>
    <w:rsid w:val="00947754"/>
    <w:rsid w:val="0095123D"/>
    <w:rsid w:val="0095169E"/>
    <w:rsid w:val="0095180B"/>
    <w:rsid w:val="0095231F"/>
    <w:rsid w:val="00952A3B"/>
    <w:rsid w:val="00952B0D"/>
    <w:rsid w:val="00953548"/>
    <w:rsid w:val="0095406B"/>
    <w:rsid w:val="0095472A"/>
    <w:rsid w:val="00954B8D"/>
    <w:rsid w:val="0095591E"/>
    <w:rsid w:val="00955AB6"/>
    <w:rsid w:val="00955E97"/>
    <w:rsid w:val="009560EE"/>
    <w:rsid w:val="00956542"/>
    <w:rsid w:val="00956924"/>
    <w:rsid w:val="00956E20"/>
    <w:rsid w:val="00957060"/>
    <w:rsid w:val="00957175"/>
    <w:rsid w:val="00957638"/>
    <w:rsid w:val="009577F4"/>
    <w:rsid w:val="00957BE6"/>
    <w:rsid w:val="00960223"/>
    <w:rsid w:val="009605BD"/>
    <w:rsid w:val="00961491"/>
    <w:rsid w:val="0096149E"/>
    <w:rsid w:val="009618C1"/>
    <w:rsid w:val="00961FEF"/>
    <w:rsid w:val="0096216F"/>
    <w:rsid w:val="00962676"/>
    <w:rsid w:val="00962B4A"/>
    <w:rsid w:val="00962CB1"/>
    <w:rsid w:val="00963000"/>
    <w:rsid w:val="0096311B"/>
    <w:rsid w:val="009631A4"/>
    <w:rsid w:val="0096422A"/>
    <w:rsid w:val="00964896"/>
    <w:rsid w:val="00964A43"/>
    <w:rsid w:val="00967BC2"/>
    <w:rsid w:val="00970BD8"/>
    <w:rsid w:val="009714F4"/>
    <w:rsid w:val="0097156A"/>
    <w:rsid w:val="00971649"/>
    <w:rsid w:val="00971AA9"/>
    <w:rsid w:val="00972454"/>
    <w:rsid w:val="009726D0"/>
    <w:rsid w:val="009729B4"/>
    <w:rsid w:val="00972D8E"/>
    <w:rsid w:val="00973166"/>
    <w:rsid w:val="0097375A"/>
    <w:rsid w:val="00973BD5"/>
    <w:rsid w:val="009742D7"/>
    <w:rsid w:val="009748F7"/>
    <w:rsid w:val="00974F17"/>
    <w:rsid w:val="00974F66"/>
    <w:rsid w:val="00974FE5"/>
    <w:rsid w:val="00975BA5"/>
    <w:rsid w:val="0097637E"/>
    <w:rsid w:val="00976810"/>
    <w:rsid w:val="009771C3"/>
    <w:rsid w:val="00977229"/>
    <w:rsid w:val="0097769F"/>
    <w:rsid w:val="00981815"/>
    <w:rsid w:val="00981BED"/>
    <w:rsid w:val="0098205C"/>
    <w:rsid w:val="009820D8"/>
    <w:rsid w:val="00982279"/>
    <w:rsid w:val="009827F0"/>
    <w:rsid w:val="00982C44"/>
    <w:rsid w:val="009842F8"/>
    <w:rsid w:val="00985592"/>
    <w:rsid w:val="00985AA7"/>
    <w:rsid w:val="00986494"/>
    <w:rsid w:val="00987E23"/>
    <w:rsid w:val="009901F8"/>
    <w:rsid w:val="00990507"/>
    <w:rsid w:val="00990F26"/>
    <w:rsid w:val="009918F8"/>
    <w:rsid w:val="009936E5"/>
    <w:rsid w:val="00993CD7"/>
    <w:rsid w:val="009950EC"/>
    <w:rsid w:val="0099543E"/>
    <w:rsid w:val="0099580B"/>
    <w:rsid w:val="00995EAE"/>
    <w:rsid w:val="009960BB"/>
    <w:rsid w:val="00996630"/>
    <w:rsid w:val="00997326"/>
    <w:rsid w:val="00997B60"/>
    <w:rsid w:val="00997DA8"/>
    <w:rsid w:val="00997E32"/>
    <w:rsid w:val="009A03DA"/>
    <w:rsid w:val="009A1521"/>
    <w:rsid w:val="009A19FB"/>
    <w:rsid w:val="009A1C2D"/>
    <w:rsid w:val="009A1FFE"/>
    <w:rsid w:val="009A21FF"/>
    <w:rsid w:val="009A2C48"/>
    <w:rsid w:val="009A33C2"/>
    <w:rsid w:val="009A48E2"/>
    <w:rsid w:val="009A4B8E"/>
    <w:rsid w:val="009A4C36"/>
    <w:rsid w:val="009A4DFA"/>
    <w:rsid w:val="009A561F"/>
    <w:rsid w:val="009A5A68"/>
    <w:rsid w:val="009A6E5B"/>
    <w:rsid w:val="009A7328"/>
    <w:rsid w:val="009A77C3"/>
    <w:rsid w:val="009A7981"/>
    <w:rsid w:val="009A7ACD"/>
    <w:rsid w:val="009A7FD1"/>
    <w:rsid w:val="009B0C1E"/>
    <w:rsid w:val="009B0CCF"/>
    <w:rsid w:val="009B0FCE"/>
    <w:rsid w:val="009B1A88"/>
    <w:rsid w:val="009B2075"/>
    <w:rsid w:val="009B2845"/>
    <w:rsid w:val="009B297D"/>
    <w:rsid w:val="009B2B0E"/>
    <w:rsid w:val="009B315B"/>
    <w:rsid w:val="009B3297"/>
    <w:rsid w:val="009B3456"/>
    <w:rsid w:val="009B354A"/>
    <w:rsid w:val="009B3933"/>
    <w:rsid w:val="009B45E6"/>
    <w:rsid w:val="009B476D"/>
    <w:rsid w:val="009B489F"/>
    <w:rsid w:val="009B5470"/>
    <w:rsid w:val="009B54F3"/>
    <w:rsid w:val="009B6326"/>
    <w:rsid w:val="009B73DA"/>
    <w:rsid w:val="009B75B7"/>
    <w:rsid w:val="009B76F7"/>
    <w:rsid w:val="009B78C3"/>
    <w:rsid w:val="009B797F"/>
    <w:rsid w:val="009B7C6F"/>
    <w:rsid w:val="009C053D"/>
    <w:rsid w:val="009C0905"/>
    <w:rsid w:val="009C0A5B"/>
    <w:rsid w:val="009C0E09"/>
    <w:rsid w:val="009C0FDE"/>
    <w:rsid w:val="009C1F89"/>
    <w:rsid w:val="009C2054"/>
    <w:rsid w:val="009C2A83"/>
    <w:rsid w:val="009C30E7"/>
    <w:rsid w:val="009C39A4"/>
    <w:rsid w:val="009C3FD8"/>
    <w:rsid w:val="009C4958"/>
    <w:rsid w:val="009C5C25"/>
    <w:rsid w:val="009C601B"/>
    <w:rsid w:val="009C6FCC"/>
    <w:rsid w:val="009C713B"/>
    <w:rsid w:val="009C7363"/>
    <w:rsid w:val="009C73CF"/>
    <w:rsid w:val="009D0746"/>
    <w:rsid w:val="009D0ABB"/>
    <w:rsid w:val="009D0D22"/>
    <w:rsid w:val="009D1CC5"/>
    <w:rsid w:val="009D1D15"/>
    <w:rsid w:val="009D22EE"/>
    <w:rsid w:val="009D24CD"/>
    <w:rsid w:val="009D2D13"/>
    <w:rsid w:val="009D2E1E"/>
    <w:rsid w:val="009D330D"/>
    <w:rsid w:val="009D332E"/>
    <w:rsid w:val="009D377C"/>
    <w:rsid w:val="009D46E7"/>
    <w:rsid w:val="009D48CD"/>
    <w:rsid w:val="009D5649"/>
    <w:rsid w:val="009D56D9"/>
    <w:rsid w:val="009D5A15"/>
    <w:rsid w:val="009D5EE4"/>
    <w:rsid w:val="009D6349"/>
    <w:rsid w:val="009D6A87"/>
    <w:rsid w:val="009D6AE4"/>
    <w:rsid w:val="009E0261"/>
    <w:rsid w:val="009E0308"/>
    <w:rsid w:val="009E20E8"/>
    <w:rsid w:val="009E3AD2"/>
    <w:rsid w:val="009E3FEF"/>
    <w:rsid w:val="009E481F"/>
    <w:rsid w:val="009E4C15"/>
    <w:rsid w:val="009E57C5"/>
    <w:rsid w:val="009E5A5B"/>
    <w:rsid w:val="009E5E3B"/>
    <w:rsid w:val="009E64BE"/>
    <w:rsid w:val="009E6870"/>
    <w:rsid w:val="009E689D"/>
    <w:rsid w:val="009E7674"/>
    <w:rsid w:val="009F002D"/>
    <w:rsid w:val="009F0194"/>
    <w:rsid w:val="009F020D"/>
    <w:rsid w:val="009F098A"/>
    <w:rsid w:val="009F13B5"/>
    <w:rsid w:val="009F13CF"/>
    <w:rsid w:val="009F1608"/>
    <w:rsid w:val="009F1AD9"/>
    <w:rsid w:val="009F1F20"/>
    <w:rsid w:val="009F2462"/>
    <w:rsid w:val="009F2F30"/>
    <w:rsid w:val="009F4132"/>
    <w:rsid w:val="009F4BD5"/>
    <w:rsid w:val="009F50F4"/>
    <w:rsid w:val="009F52AF"/>
    <w:rsid w:val="009F5FDB"/>
    <w:rsid w:val="009F6379"/>
    <w:rsid w:val="009F737D"/>
    <w:rsid w:val="009F7894"/>
    <w:rsid w:val="009F79D7"/>
    <w:rsid w:val="009F7B7B"/>
    <w:rsid w:val="00A003A2"/>
    <w:rsid w:val="00A00C38"/>
    <w:rsid w:val="00A010D0"/>
    <w:rsid w:val="00A01BFD"/>
    <w:rsid w:val="00A02222"/>
    <w:rsid w:val="00A02584"/>
    <w:rsid w:val="00A02679"/>
    <w:rsid w:val="00A028EA"/>
    <w:rsid w:val="00A02AC1"/>
    <w:rsid w:val="00A03B85"/>
    <w:rsid w:val="00A04197"/>
    <w:rsid w:val="00A04731"/>
    <w:rsid w:val="00A04877"/>
    <w:rsid w:val="00A05D97"/>
    <w:rsid w:val="00A064A7"/>
    <w:rsid w:val="00A0685D"/>
    <w:rsid w:val="00A06FED"/>
    <w:rsid w:val="00A072F7"/>
    <w:rsid w:val="00A07CEC"/>
    <w:rsid w:val="00A07EDE"/>
    <w:rsid w:val="00A10452"/>
    <w:rsid w:val="00A104BC"/>
    <w:rsid w:val="00A106C2"/>
    <w:rsid w:val="00A1166E"/>
    <w:rsid w:val="00A11F5D"/>
    <w:rsid w:val="00A121A4"/>
    <w:rsid w:val="00A12679"/>
    <w:rsid w:val="00A149F0"/>
    <w:rsid w:val="00A14CB3"/>
    <w:rsid w:val="00A14E84"/>
    <w:rsid w:val="00A16126"/>
    <w:rsid w:val="00A1665D"/>
    <w:rsid w:val="00A16F92"/>
    <w:rsid w:val="00A17165"/>
    <w:rsid w:val="00A17200"/>
    <w:rsid w:val="00A17519"/>
    <w:rsid w:val="00A202BF"/>
    <w:rsid w:val="00A2157F"/>
    <w:rsid w:val="00A22C79"/>
    <w:rsid w:val="00A22D91"/>
    <w:rsid w:val="00A22DAE"/>
    <w:rsid w:val="00A230AE"/>
    <w:rsid w:val="00A232E4"/>
    <w:rsid w:val="00A236A0"/>
    <w:rsid w:val="00A240B0"/>
    <w:rsid w:val="00A2548E"/>
    <w:rsid w:val="00A2568D"/>
    <w:rsid w:val="00A25D86"/>
    <w:rsid w:val="00A26400"/>
    <w:rsid w:val="00A26B4C"/>
    <w:rsid w:val="00A26C55"/>
    <w:rsid w:val="00A26F3F"/>
    <w:rsid w:val="00A26FA8"/>
    <w:rsid w:val="00A30231"/>
    <w:rsid w:val="00A302CB"/>
    <w:rsid w:val="00A31DAE"/>
    <w:rsid w:val="00A32543"/>
    <w:rsid w:val="00A325AC"/>
    <w:rsid w:val="00A32804"/>
    <w:rsid w:val="00A32980"/>
    <w:rsid w:val="00A33607"/>
    <w:rsid w:val="00A33ABC"/>
    <w:rsid w:val="00A33AEC"/>
    <w:rsid w:val="00A3458F"/>
    <w:rsid w:val="00A34DC5"/>
    <w:rsid w:val="00A34FE3"/>
    <w:rsid w:val="00A356F7"/>
    <w:rsid w:val="00A357A2"/>
    <w:rsid w:val="00A361C8"/>
    <w:rsid w:val="00A36713"/>
    <w:rsid w:val="00A36866"/>
    <w:rsid w:val="00A37536"/>
    <w:rsid w:val="00A375EE"/>
    <w:rsid w:val="00A376F3"/>
    <w:rsid w:val="00A37CDE"/>
    <w:rsid w:val="00A37E5C"/>
    <w:rsid w:val="00A37E8D"/>
    <w:rsid w:val="00A37F85"/>
    <w:rsid w:val="00A40389"/>
    <w:rsid w:val="00A40D67"/>
    <w:rsid w:val="00A41D89"/>
    <w:rsid w:val="00A4282E"/>
    <w:rsid w:val="00A442E6"/>
    <w:rsid w:val="00A443BB"/>
    <w:rsid w:val="00A44472"/>
    <w:rsid w:val="00A44896"/>
    <w:rsid w:val="00A451BD"/>
    <w:rsid w:val="00A45392"/>
    <w:rsid w:val="00A456D3"/>
    <w:rsid w:val="00A460BA"/>
    <w:rsid w:val="00A46137"/>
    <w:rsid w:val="00A469D0"/>
    <w:rsid w:val="00A46B0C"/>
    <w:rsid w:val="00A46B3E"/>
    <w:rsid w:val="00A50947"/>
    <w:rsid w:val="00A50E21"/>
    <w:rsid w:val="00A51089"/>
    <w:rsid w:val="00A51338"/>
    <w:rsid w:val="00A51CF8"/>
    <w:rsid w:val="00A5347B"/>
    <w:rsid w:val="00A53664"/>
    <w:rsid w:val="00A53DDB"/>
    <w:rsid w:val="00A53F4F"/>
    <w:rsid w:val="00A546F0"/>
    <w:rsid w:val="00A54CD7"/>
    <w:rsid w:val="00A5537D"/>
    <w:rsid w:val="00A56200"/>
    <w:rsid w:val="00A56B6D"/>
    <w:rsid w:val="00A572C8"/>
    <w:rsid w:val="00A57A95"/>
    <w:rsid w:val="00A6093E"/>
    <w:rsid w:val="00A61B56"/>
    <w:rsid w:val="00A61DA7"/>
    <w:rsid w:val="00A6228D"/>
    <w:rsid w:val="00A62930"/>
    <w:rsid w:val="00A62F4B"/>
    <w:rsid w:val="00A630E3"/>
    <w:rsid w:val="00A630E4"/>
    <w:rsid w:val="00A63343"/>
    <w:rsid w:val="00A63435"/>
    <w:rsid w:val="00A636A9"/>
    <w:rsid w:val="00A649E8"/>
    <w:rsid w:val="00A66790"/>
    <w:rsid w:val="00A67A37"/>
    <w:rsid w:val="00A67C68"/>
    <w:rsid w:val="00A67D63"/>
    <w:rsid w:val="00A702D8"/>
    <w:rsid w:val="00A702F2"/>
    <w:rsid w:val="00A70661"/>
    <w:rsid w:val="00A70ADA"/>
    <w:rsid w:val="00A70BA2"/>
    <w:rsid w:val="00A71B4F"/>
    <w:rsid w:val="00A71DE4"/>
    <w:rsid w:val="00A72130"/>
    <w:rsid w:val="00A727BA"/>
    <w:rsid w:val="00A73A4F"/>
    <w:rsid w:val="00A744C4"/>
    <w:rsid w:val="00A7498F"/>
    <w:rsid w:val="00A75770"/>
    <w:rsid w:val="00A75DCA"/>
    <w:rsid w:val="00A772E4"/>
    <w:rsid w:val="00A77B1F"/>
    <w:rsid w:val="00A77BDA"/>
    <w:rsid w:val="00A804FE"/>
    <w:rsid w:val="00A80977"/>
    <w:rsid w:val="00A80F11"/>
    <w:rsid w:val="00A81135"/>
    <w:rsid w:val="00A811ED"/>
    <w:rsid w:val="00A812AA"/>
    <w:rsid w:val="00A81F22"/>
    <w:rsid w:val="00A81F3D"/>
    <w:rsid w:val="00A821EF"/>
    <w:rsid w:val="00A8338A"/>
    <w:rsid w:val="00A83897"/>
    <w:rsid w:val="00A83A65"/>
    <w:rsid w:val="00A83FCB"/>
    <w:rsid w:val="00A84173"/>
    <w:rsid w:val="00A846D9"/>
    <w:rsid w:val="00A851F5"/>
    <w:rsid w:val="00A85329"/>
    <w:rsid w:val="00A85376"/>
    <w:rsid w:val="00A85446"/>
    <w:rsid w:val="00A854F0"/>
    <w:rsid w:val="00A8594A"/>
    <w:rsid w:val="00A85E52"/>
    <w:rsid w:val="00A860AB"/>
    <w:rsid w:val="00A8679B"/>
    <w:rsid w:val="00A86F9A"/>
    <w:rsid w:val="00A87323"/>
    <w:rsid w:val="00A909BB"/>
    <w:rsid w:val="00A90A7B"/>
    <w:rsid w:val="00A90B28"/>
    <w:rsid w:val="00A912C9"/>
    <w:rsid w:val="00A915CE"/>
    <w:rsid w:val="00A91814"/>
    <w:rsid w:val="00A9194A"/>
    <w:rsid w:val="00A91A9D"/>
    <w:rsid w:val="00A91C88"/>
    <w:rsid w:val="00A91DC5"/>
    <w:rsid w:val="00A92AC4"/>
    <w:rsid w:val="00A92CF7"/>
    <w:rsid w:val="00A935D8"/>
    <w:rsid w:val="00A936C7"/>
    <w:rsid w:val="00A94002"/>
    <w:rsid w:val="00A94447"/>
    <w:rsid w:val="00A94567"/>
    <w:rsid w:val="00A95C1C"/>
    <w:rsid w:val="00A96E6E"/>
    <w:rsid w:val="00A97716"/>
    <w:rsid w:val="00A978DF"/>
    <w:rsid w:val="00A97EC7"/>
    <w:rsid w:val="00AA05F3"/>
    <w:rsid w:val="00AA0812"/>
    <w:rsid w:val="00AA0E6B"/>
    <w:rsid w:val="00AA1027"/>
    <w:rsid w:val="00AA1C37"/>
    <w:rsid w:val="00AA2CFC"/>
    <w:rsid w:val="00AA2F0C"/>
    <w:rsid w:val="00AA32FD"/>
    <w:rsid w:val="00AA4D55"/>
    <w:rsid w:val="00AA4EC2"/>
    <w:rsid w:val="00AA5DF7"/>
    <w:rsid w:val="00AA6C57"/>
    <w:rsid w:val="00AA7038"/>
    <w:rsid w:val="00AA7663"/>
    <w:rsid w:val="00AA7EC7"/>
    <w:rsid w:val="00AB001E"/>
    <w:rsid w:val="00AB08BA"/>
    <w:rsid w:val="00AB0E79"/>
    <w:rsid w:val="00AB106F"/>
    <w:rsid w:val="00AB15A2"/>
    <w:rsid w:val="00AB1D94"/>
    <w:rsid w:val="00AB1FA1"/>
    <w:rsid w:val="00AB30F3"/>
    <w:rsid w:val="00AB4001"/>
    <w:rsid w:val="00AB4410"/>
    <w:rsid w:val="00AB5064"/>
    <w:rsid w:val="00AB60FD"/>
    <w:rsid w:val="00AB7A13"/>
    <w:rsid w:val="00AB7FB8"/>
    <w:rsid w:val="00AC0102"/>
    <w:rsid w:val="00AC0114"/>
    <w:rsid w:val="00AC0B00"/>
    <w:rsid w:val="00AC0C51"/>
    <w:rsid w:val="00AC0FA8"/>
    <w:rsid w:val="00AC130D"/>
    <w:rsid w:val="00AC1718"/>
    <w:rsid w:val="00AC178E"/>
    <w:rsid w:val="00AC1AC6"/>
    <w:rsid w:val="00AC1B9C"/>
    <w:rsid w:val="00AC1BA0"/>
    <w:rsid w:val="00AC1CA4"/>
    <w:rsid w:val="00AC1F74"/>
    <w:rsid w:val="00AC29BD"/>
    <w:rsid w:val="00AC2B3F"/>
    <w:rsid w:val="00AC2E70"/>
    <w:rsid w:val="00AC30C4"/>
    <w:rsid w:val="00AC3144"/>
    <w:rsid w:val="00AC39C5"/>
    <w:rsid w:val="00AC41FF"/>
    <w:rsid w:val="00AC4CC5"/>
    <w:rsid w:val="00AC4E5E"/>
    <w:rsid w:val="00AC4F33"/>
    <w:rsid w:val="00AC50EF"/>
    <w:rsid w:val="00AC513C"/>
    <w:rsid w:val="00AC56A8"/>
    <w:rsid w:val="00AC637C"/>
    <w:rsid w:val="00AC65DD"/>
    <w:rsid w:val="00AC6E9F"/>
    <w:rsid w:val="00AC71AB"/>
    <w:rsid w:val="00AC72DA"/>
    <w:rsid w:val="00AC78DC"/>
    <w:rsid w:val="00AC78F1"/>
    <w:rsid w:val="00AC7E9C"/>
    <w:rsid w:val="00AD0B3C"/>
    <w:rsid w:val="00AD0C51"/>
    <w:rsid w:val="00AD1092"/>
    <w:rsid w:val="00AD16ED"/>
    <w:rsid w:val="00AD1999"/>
    <w:rsid w:val="00AD1F23"/>
    <w:rsid w:val="00AD20A9"/>
    <w:rsid w:val="00AD2214"/>
    <w:rsid w:val="00AD30A3"/>
    <w:rsid w:val="00AD3BF9"/>
    <w:rsid w:val="00AD4F13"/>
    <w:rsid w:val="00AD50B8"/>
    <w:rsid w:val="00AD5C5B"/>
    <w:rsid w:val="00AD6983"/>
    <w:rsid w:val="00AD6F74"/>
    <w:rsid w:val="00AD7345"/>
    <w:rsid w:val="00AD79AE"/>
    <w:rsid w:val="00AD7F3E"/>
    <w:rsid w:val="00AE000D"/>
    <w:rsid w:val="00AE0CAA"/>
    <w:rsid w:val="00AE116E"/>
    <w:rsid w:val="00AE1174"/>
    <w:rsid w:val="00AE1F79"/>
    <w:rsid w:val="00AE25E0"/>
    <w:rsid w:val="00AE3071"/>
    <w:rsid w:val="00AE31B5"/>
    <w:rsid w:val="00AE339D"/>
    <w:rsid w:val="00AE3CBE"/>
    <w:rsid w:val="00AE4922"/>
    <w:rsid w:val="00AE4940"/>
    <w:rsid w:val="00AE4E8D"/>
    <w:rsid w:val="00AE536B"/>
    <w:rsid w:val="00AE59DE"/>
    <w:rsid w:val="00AE5BE1"/>
    <w:rsid w:val="00AE6510"/>
    <w:rsid w:val="00AE6D7C"/>
    <w:rsid w:val="00AE730C"/>
    <w:rsid w:val="00AF0D4B"/>
    <w:rsid w:val="00AF0E2D"/>
    <w:rsid w:val="00AF105C"/>
    <w:rsid w:val="00AF149D"/>
    <w:rsid w:val="00AF1709"/>
    <w:rsid w:val="00AF2142"/>
    <w:rsid w:val="00AF2884"/>
    <w:rsid w:val="00AF3050"/>
    <w:rsid w:val="00AF3462"/>
    <w:rsid w:val="00AF390A"/>
    <w:rsid w:val="00AF3ED1"/>
    <w:rsid w:val="00AF48A4"/>
    <w:rsid w:val="00AF4939"/>
    <w:rsid w:val="00AF4B97"/>
    <w:rsid w:val="00AF4BE7"/>
    <w:rsid w:val="00AF4D3B"/>
    <w:rsid w:val="00AF5D5A"/>
    <w:rsid w:val="00AF6647"/>
    <w:rsid w:val="00AF6F0D"/>
    <w:rsid w:val="00AF7BD2"/>
    <w:rsid w:val="00B006B7"/>
    <w:rsid w:val="00B0089D"/>
    <w:rsid w:val="00B0136F"/>
    <w:rsid w:val="00B01820"/>
    <w:rsid w:val="00B02495"/>
    <w:rsid w:val="00B02E8D"/>
    <w:rsid w:val="00B02F55"/>
    <w:rsid w:val="00B0319E"/>
    <w:rsid w:val="00B033E7"/>
    <w:rsid w:val="00B038A5"/>
    <w:rsid w:val="00B03A7C"/>
    <w:rsid w:val="00B03ACE"/>
    <w:rsid w:val="00B043F3"/>
    <w:rsid w:val="00B05CF3"/>
    <w:rsid w:val="00B064EA"/>
    <w:rsid w:val="00B06953"/>
    <w:rsid w:val="00B069C8"/>
    <w:rsid w:val="00B078CC"/>
    <w:rsid w:val="00B07DBB"/>
    <w:rsid w:val="00B1056E"/>
    <w:rsid w:val="00B11B83"/>
    <w:rsid w:val="00B128FD"/>
    <w:rsid w:val="00B12CCB"/>
    <w:rsid w:val="00B139D8"/>
    <w:rsid w:val="00B13AB5"/>
    <w:rsid w:val="00B14000"/>
    <w:rsid w:val="00B1444F"/>
    <w:rsid w:val="00B14BD8"/>
    <w:rsid w:val="00B15B4C"/>
    <w:rsid w:val="00B15E02"/>
    <w:rsid w:val="00B1611A"/>
    <w:rsid w:val="00B16270"/>
    <w:rsid w:val="00B17BA1"/>
    <w:rsid w:val="00B17DB9"/>
    <w:rsid w:val="00B210DC"/>
    <w:rsid w:val="00B21270"/>
    <w:rsid w:val="00B21578"/>
    <w:rsid w:val="00B22950"/>
    <w:rsid w:val="00B2295E"/>
    <w:rsid w:val="00B22F1E"/>
    <w:rsid w:val="00B24234"/>
    <w:rsid w:val="00B245ED"/>
    <w:rsid w:val="00B248BB"/>
    <w:rsid w:val="00B24B7B"/>
    <w:rsid w:val="00B25C23"/>
    <w:rsid w:val="00B25E16"/>
    <w:rsid w:val="00B2721A"/>
    <w:rsid w:val="00B3072D"/>
    <w:rsid w:val="00B30B27"/>
    <w:rsid w:val="00B312BF"/>
    <w:rsid w:val="00B313A8"/>
    <w:rsid w:val="00B316DD"/>
    <w:rsid w:val="00B31D90"/>
    <w:rsid w:val="00B322CA"/>
    <w:rsid w:val="00B3249A"/>
    <w:rsid w:val="00B328D3"/>
    <w:rsid w:val="00B3374C"/>
    <w:rsid w:val="00B33A75"/>
    <w:rsid w:val="00B35FB7"/>
    <w:rsid w:val="00B36391"/>
    <w:rsid w:val="00B36999"/>
    <w:rsid w:val="00B3763A"/>
    <w:rsid w:val="00B37D12"/>
    <w:rsid w:val="00B401A5"/>
    <w:rsid w:val="00B40515"/>
    <w:rsid w:val="00B41529"/>
    <w:rsid w:val="00B42CF4"/>
    <w:rsid w:val="00B434F0"/>
    <w:rsid w:val="00B43EE5"/>
    <w:rsid w:val="00B442CA"/>
    <w:rsid w:val="00B4449D"/>
    <w:rsid w:val="00B44632"/>
    <w:rsid w:val="00B46264"/>
    <w:rsid w:val="00B4697C"/>
    <w:rsid w:val="00B4698E"/>
    <w:rsid w:val="00B47A84"/>
    <w:rsid w:val="00B47EA4"/>
    <w:rsid w:val="00B501F4"/>
    <w:rsid w:val="00B50F0C"/>
    <w:rsid w:val="00B511D8"/>
    <w:rsid w:val="00B51D02"/>
    <w:rsid w:val="00B52479"/>
    <w:rsid w:val="00B528F0"/>
    <w:rsid w:val="00B52B06"/>
    <w:rsid w:val="00B52BF5"/>
    <w:rsid w:val="00B53619"/>
    <w:rsid w:val="00B5371D"/>
    <w:rsid w:val="00B539A0"/>
    <w:rsid w:val="00B53EA4"/>
    <w:rsid w:val="00B54B88"/>
    <w:rsid w:val="00B54BB0"/>
    <w:rsid w:val="00B54D13"/>
    <w:rsid w:val="00B5500C"/>
    <w:rsid w:val="00B55812"/>
    <w:rsid w:val="00B558F2"/>
    <w:rsid w:val="00B55C21"/>
    <w:rsid w:val="00B56012"/>
    <w:rsid w:val="00B56B5A"/>
    <w:rsid w:val="00B56E5B"/>
    <w:rsid w:val="00B56E7C"/>
    <w:rsid w:val="00B573C4"/>
    <w:rsid w:val="00B57612"/>
    <w:rsid w:val="00B57B03"/>
    <w:rsid w:val="00B60157"/>
    <w:rsid w:val="00B6022B"/>
    <w:rsid w:val="00B6039C"/>
    <w:rsid w:val="00B6062E"/>
    <w:rsid w:val="00B610B7"/>
    <w:rsid w:val="00B62679"/>
    <w:rsid w:val="00B62BE1"/>
    <w:rsid w:val="00B62D52"/>
    <w:rsid w:val="00B6341A"/>
    <w:rsid w:val="00B65509"/>
    <w:rsid w:val="00B65BDC"/>
    <w:rsid w:val="00B6694E"/>
    <w:rsid w:val="00B6774C"/>
    <w:rsid w:val="00B67A05"/>
    <w:rsid w:val="00B7029D"/>
    <w:rsid w:val="00B7050E"/>
    <w:rsid w:val="00B707DA"/>
    <w:rsid w:val="00B707DC"/>
    <w:rsid w:val="00B70B1B"/>
    <w:rsid w:val="00B712F0"/>
    <w:rsid w:val="00B71647"/>
    <w:rsid w:val="00B719F5"/>
    <w:rsid w:val="00B733F3"/>
    <w:rsid w:val="00B73701"/>
    <w:rsid w:val="00B73DE6"/>
    <w:rsid w:val="00B743D3"/>
    <w:rsid w:val="00B746BC"/>
    <w:rsid w:val="00B748C9"/>
    <w:rsid w:val="00B7516A"/>
    <w:rsid w:val="00B752E6"/>
    <w:rsid w:val="00B756F2"/>
    <w:rsid w:val="00B75A4B"/>
    <w:rsid w:val="00B7657F"/>
    <w:rsid w:val="00B77001"/>
    <w:rsid w:val="00B77A01"/>
    <w:rsid w:val="00B77A92"/>
    <w:rsid w:val="00B77E6C"/>
    <w:rsid w:val="00B77F0E"/>
    <w:rsid w:val="00B8017E"/>
    <w:rsid w:val="00B805B3"/>
    <w:rsid w:val="00B817E2"/>
    <w:rsid w:val="00B828E6"/>
    <w:rsid w:val="00B832E9"/>
    <w:rsid w:val="00B8353A"/>
    <w:rsid w:val="00B835DE"/>
    <w:rsid w:val="00B8360A"/>
    <w:rsid w:val="00B842D4"/>
    <w:rsid w:val="00B846C6"/>
    <w:rsid w:val="00B856FB"/>
    <w:rsid w:val="00B85EB1"/>
    <w:rsid w:val="00B860E5"/>
    <w:rsid w:val="00B86869"/>
    <w:rsid w:val="00B870D9"/>
    <w:rsid w:val="00B875E4"/>
    <w:rsid w:val="00B879A6"/>
    <w:rsid w:val="00B87CFC"/>
    <w:rsid w:val="00B90436"/>
    <w:rsid w:val="00B90A9C"/>
    <w:rsid w:val="00B90AEF"/>
    <w:rsid w:val="00B90DD1"/>
    <w:rsid w:val="00B91117"/>
    <w:rsid w:val="00B913CF"/>
    <w:rsid w:val="00B919D3"/>
    <w:rsid w:val="00B91F78"/>
    <w:rsid w:val="00B92B70"/>
    <w:rsid w:val="00B930C3"/>
    <w:rsid w:val="00B932EC"/>
    <w:rsid w:val="00B9351F"/>
    <w:rsid w:val="00B93739"/>
    <w:rsid w:val="00B95C2D"/>
    <w:rsid w:val="00B95F5A"/>
    <w:rsid w:val="00B96559"/>
    <w:rsid w:val="00B9660D"/>
    <w:rsid w:val="00B96B57"/>
    <w:rsid w:val="00B96B9A"/>
    <w:rsid w:val="00B96DF1"/>
    <w:rsid w:val="00B97FF2"/>
    <w:rsid w:val="00BA0680"/>
    <w:rsid w:val="00BA0703"/>
    <w:rsid w:val="00BA0D7D"/>
    <w:rsid w:val="00BA3257"/>
    <w:rsid w:val="00BA3881"/>
    <w:rsid w:val="00BA3B23"/>
    <w:rsid w:val="00BA4610"/>
    <w:rsid w:val="00BA4884"/>
    <w:rsid w:val="00BA521A"/>
    <w:rsid w:val="00BA5CE3"/>
    <w:rsid w:val="00BA5E4A"/>
    <w:rsid w:val="00BA68CA"/>
    <w:rsid w:val="00BB0DCC"/>
    <w:rsid w:val="00BB27C3"/>
    <w:rsid w:val="00BB3B4B"/>
    <w:rsid w:val="00BB4083"/>
    <w:rsid w:val="00BB41E1"/>
    <w:rsid w:val="00BB4BC9"/>
    <w:rsid w:val="00BB4E9E"/>
    <w:rsid w:val="00BB5053"/>
    <w:rsid w:val="00BB5239"/>
    <w:rsid w:val="00BB59EF"/>
    <w:rsid w:val="00BB5D6E"/>
    <w:rsid w:val="00BB6ED8"/>
    <w:rsid w:val="00BB6F2C"/>
    <w:rsid w:val="00BB735A"/>
    <w:rsid w:val="00BB79F5"/>
    <w:rsid w:val="00BB7E05"/>
    <w:rsid w:val="00BB7F59"/>
    <w:rsid w:val="00BB7F67"/>
    <w:rsid w:val="00BB7F6A"/>
    <w:rsid w:val="00BC026A"/>
    <w:rsid w:val="00BC02BC"/>
    <w:rsid w:val="00BC08A2"/>
    <w:rsid w:val="00BC0CBD"/>
    <w:rsid w:val="00BC1862"/>
    <w:rsid w:val="00BC1B04"/>
    <w:rsid w:val="00BC2847"/>
    <w:rsid w:val="00BC4209"/>
    <w:rsid w:val="00BC44BF"/>
    <w:rsid w:val="00BC48D9"/>
    <w:rsid w:val="00BC6047"/>
    <w:rsid w:val="00BC6202"/>
    <w:rsid w:val="00BC6F29"/>
    <w:rsid w:val="00BC7DD2"/>
    <w:rsid w:val="00BD0055"/>
    <w:rsid w:val="00BD06EE"/>
    <w:rsid w:val="00BD0D7D"/>
    <w:rsid w:val="00BD18F1"/>
    <w:rsid w:val="00BD3E5F"/>
    <w:rsid w:val="00BD4470"/>
    <w:rsid w:val="00BD467A"/>
    <w:rsid w:val="00BD53A6"/>
    <w:rsid w:val="00BD53AD"/>
    <w:rsid w:val="00BD5458"/>
    <w:rsid w:val="00BD6FFE"/>
    <w:rsid w:val="00BE034A"/>
    <w:rsid w:val="00BE1031"/>
    <w:rsid w:val="00BE13AA"/>
    <w:rsid w:val="00BE1A6A"/>
    <w:rsid w:val="00BE1DDD"/>
    <w:rsid w:val="00BE23EF"/>
    <w:rsid w:val="00BE379C"/>
    <w:rsid w:val="00BE44EC"/>
    <w:rsid w:val="00BE4F92"/>
    <w:rsid w:val="00BE6273"/>
    <w:rsid w:val="00BE74FE"/>
    <w:rsid w:val="00BE7A18"/>
    <w:rsid w:val="00BF03EE"/>
    <w:rsid w:val="00BF1647"/>
    <w:rsid w:val="00BF2FAE"/>
    <w:rsid w:val="00BF362A"/>
    <w:rsid w:val="00BF376D"/>
    <w:rsid w:val="00BF389F"/>
    <w:rsid w:val="00BF38CB"/>
    <w:rsid w:val="00BF4A7B"/>
    <w:rsid w:val="00BF5027"/>
    <w:rsid w:val="00BF5F4E"/>
    <w:rsid w:val="00BF662E"/>
    <w:rsid w:val="00BF6B7C"/>
    <w:rsid w:val="00BF6BFD"/>
    <w:rsid w:val="00BF766A"/>
    <w:rsid w:val="00BF7A20"/>
    <w:rsid w:val="00C003DC"/>
    <w:rsid w:val="00C0064E"/>
    <w:rsid w:val="00C011CF"/>
    <w:rsid w:val="00C011E2"/>
    <w:rsid w:val="00C0192F"/>
    <w:rsid w:val="00C01A88"/>
    <w:rsid w:val="00C01AAD"/>
    <w:rsid w:val="00C01F8B"/>
    <w:rsid w:val="00C020B6"/>
    <w:rsid w:val="00C02143"/>
    <w:rsid w:val="00C028F7"/>
    <w:rsid w:val="00C02A11"/>
    <w:rsid w:val="00C03F01"/>
    <w:rsid w:val="00C042A9"/>
    <w:rsid w:val="00C04331"/>
    <w:rsid w:val="00C04625"/>
    <w:rsid w:val="00C055BF"/>
    <w:rsid w:val="00C0566D"/>
    <w:rsid w:val="00C060D4"/>
    <w:rsid w:val="00C0678C"/>
    <w:rsid w:val="00C06AF5"/>
    <w:rsid w:val="00C06D25"/>
    <w:rsid w:val="00C06DB3"/>
    <w:rsid w:val="00C07A10"/>
    <w:rsid w:val="00C10211"/>
    <w:rsid w:val="00C109F9"/>
    <w:rsid w:val="00C114E5"/>
    <w:rsid w:val="00C1152D"/>
    <w:rsid w:val="00C118EB"/>
    <w:rsid w:val="00C126B4"/>
    <w:rsid w:val="00C127AC"/>
    <w:rsid w:val="00C13431"/>
    <w:rsid w:val="00C15B92"/>
    <w:rsid w:val="00C15C41"/>
    <w:rsid w:val="00C16340"/>
    <w:rsid w:val="00C164F5"/>
    <w:rsid w:val="00C17C8B"/>
    <w:rsid w:val="00C214CE"/>
    <w:rsid w:val="00C21E22"/>
    <w:rsid w:val="00C22679"/>
    <w:rsid w:val="00C23041"/>
    <w:rsid w:val="00C23214"/>
    <w:rsid w:val="00C2393E"/>
    <w:rsid w:val="00C23C35"/>
    <w:rsid w:val="00C23F2B"/>
    <w:rsid w:val="00C24B26"/>
    <w:rsid w:val="00C24C46"/>
    <w:rsid w:val="00C24D17"/>
    <w:rsid w:val="00C25258"/>
    <w:rsid w:val="00C25266"/>
    <w:rsid w:val="00C252E1"/>
    <w:rsid w:val="00C26332"/>
    <w:rsid w:val="00C27BD3"/>
    <w:rsid w:val="00C30533"/>
    <w:rsid w:val="00C30E99"/>
    <w:rsid w:val="00C30F1F"/>
    <w:rsid w:val="00C31375"/>
    <w:rsid w:val="00C31AC1"/>
    <w:rsid w:val="00C329B8"/>
    <w:rsid w:val="00C33551"/>
    <w:rsid w:val="00C335F3"/>
    <w:rsid w:val="00C33FE9"/>
    <w:rsid w:val="00C34A8D"/>
    <w:rsid w:val="00C354CC"/>
    <w:rsid w:val="00C357EB"/>
    <w:rsid w:val="00C35A27"/>
    <w:rsid w:val="00C35F4E"/>
    <w:rsid w:val="00C3616F"/>
    <w:rsid w:val="00C36719"/>
    <w:rsid w:val="00C36AF3"/>
    <w:rsid w:val="00C405D5"/>
    <w:rsid w:val="00C40D5C"/>
    <w:rsid w:val="00C41765"/>
    <w:rsid w:val="00C422ED"/>
    <w:rsid w:val="00C42DA7"/>
    <w:rsid w:val="00C44607"/>
    <w:rsid w:val="00C446E5"/>
    <w:rsid w:val="00C44A93"/>
    <w:rsid w:val="00C44DE2"/>
    <w:rsid w:val="00C45EAD"/>
    <w:rsid w:val="00C46287"/>
    <w:rsid w:val="00C46367"/>
    <w:rsid w:val="00C46EF1"/>
    <w:rsid w:val="00C47EF5"/>
    <w:rsid w:val="00C5133C"/>
    <w:rsid w:val="00C51798"/>
    <w:rsid w:val="00C51C28"/>
    <w:rsid w:val="00C51F1B"/>
    <w:rsid w:val="00C51FB9"/>
    <w:rsid w:val="00C51FCA"/>
    <w:rsid w:val="00C52198"/>
    <w:rsid w:val="00C545C4"/>
    <w:rsid w:val="00C54E99"/>
    <w:rsid w:val="00C55230"/>
    <w:rsid w:val="00C5637D"/>
    <w:rsid w:val="00C567EA"/>
    <w:rsid w:val="00C568B2"/>
    <w:rsid w:val="00C6042F"/>
    <w:rsid w:val="00C604D6"/>
    <w:rsid w:val="00C60710"/>
    <w:rsid w:val="00C6388A"/>
    <w:rsid w:val="00C63E7A"/>
    <w:rsid w:val="00C6473B"/>
    <w:rsid w:val="00C65253"/>
    <w:rsid w:val="00C65277"/>
    <w:rsid w:val="00C657F6"/>
    <w:rsid w:val="00C65FAC"/>
    <w:rsid w:val="00C66267"/>
    <w:rsid w:val="00C6684D"/>
    <w:rsid w:val="00C672B0"/>
    <w:rsid w:val="00C67A8B"/>
    <w:rsid w:val="00C67AB7"/>
    <w:rsid w:val="00C67D9C"/>
    <w:rsid w:val="00C67E90"/>
    <w:rsid w:val="00C7090B"/>
    <w:rsid w:val="00C70D5A"/>
    <w:rsid w:val="00C70F9E"/>
    <w:rsid w:val="00C71274"/>
    <w:rsid w:val="00C71474"/>
    <w:rsid w:val="00C71854"/>
    <w:rsid w:val="00C719A0"/>
    <w:rsid w:val="00C71DE9"/>
    <w:rsid w:val="00C72705"/>
    <w:rsid w:val="00C7292B"/>
    <w:rsid w:val="00C72BB9"/>
    <w:rsid w:val="00C72E56"/>
    <w:rsid w:val="00C7309D"/>
    <w:rsid w:val="00C73B3F"/>
    <w:rsid w:val="00C743F8"/>
    <w:rsid w:val="00C74FB2"/>
    <w:rsid w:val="00C7659E"/>
    <w:rsid w:val="00C7747D"/>
    <w:rsid w:val="00C77924"/>
    <w:rsid w:val="00C81310"/>
    <w:rsid w:val="00C81421"/>
    <w:rsid w:val="00C81675"/>
    <w:rsid w:val="00C81B3F"/>
    <w:rsid w:val="00C832BB"/>
    <w:rsid w:val="00C848E9"/>
    <w:rsid w:val="00C84B0B"/>
    <w:rsid w:val="00C85EB3"/>
    <w:rsid w:val="00C85F01"/>
    <w:rsid w:val="00C86447"/>
    <w:rsid w:val="00C86743"/>
    <w:rsid w:val="00C8759B"/>
    <w:rsid w:val="00C878C2"/>
    <w:rsid w:val="00C87945"/>
    <w:rsid w:val="00C87D65"/>
    <w:rsid w:val="00C90DEF"/>
    <w:rsid w:val="00C90EB3"/>
    <w:rsid w:val="00C914FF"/>
    <w:rsid w:val="00C9161C"/>
    <w:rsid w:val="00C91830"/>
    <w:rsid w:val="00C9298D"/>
    <w:rsid w:val="00C92DD6"/>
    <w:rsid w:val="00C932F9"/>
    <w:rsid w:val="00C93D2F"/>
    <w:rsid w:val="00C942FA"/>
    <w:rsid w:val="00C9473C"/>
    <w:rsid w:val="00C94B61"/>
    <w:rsid w:val="00C951A1"/>
    <w:rsid w:val="00C9675F"/>
    <w:rsid w:val="00C97A46"/>
    <w:rsid w:val="00C97BCF"/>
    <w:rsid w:val="00C97DAE"/>
    <w:rsid w:val="00C97E31"/>
    <w:rsid w:val="00CA09C7"/>
    <w:rsid w:val="00CA0FA4"/>
    <w:rsid w:val="00CA1852"/>
    <w:rsid w:val="00CA1D20"/>
    <w:rsid w:val="00CA2341"/>
    <w:rsid w:val="00CA23F1"/>
    <w:rsid w:val="00CA26E0"/>
    <w:rsid w:val="00CA298E"/>
    <w:rsid w:val="00CA29D8"/>
    <w:rsid w:val="00CA34F4"/>
    <w:rsid w:val="00CA3B24"/>
    <w:rsid w:val="00CA41A2"/>
    <w:rsid w:val="00CA439F"/>
    <w:rsid w:val="00CA526C"/>
    <w:rsid w:val="00CA5490"/>
    <w:rsid w:val="00CA56AE"/>
    <w:rsid w:val="00CA60D1"/>
    <w:rsid w:val="00CA631D"/>
    <w:rsid w:val="00CA6AC5"/>
    <w:rsid w:val="00CB047A"/>
    <w:rsid w:val="00CB13E9"/>
    <w:rsid w:val="00CB151B"/>
    <w:rsid w:val="00CB1531"/>
    <w:rsid w:val="00CB198B"/>
    <w:rsid w:val="00CB22BF"/>
    <w:rsid w:val="00CB2372"/>
    <w:rsid w:val="00CB25E6"/>
    <w:rsid w:val="00CB29ED"/>
    <w:rsid w:val="00CB2E52"/>
    <w:rsid w:val="00CB4212"/>
    <w:rsid w:val="00CB4895"/>
    <w:rsid w:val="00CB4B36"/>
    <w:rsid w:val="00CB4D72"/>
    <w:rsid w:val="00CB516A"/>
    <w:rsid w:val="00CB572C"/>
    <w:rsid w:val="00CB5A05"/>
    <w:rsid w:val="00CC0330"/>
    <w:rsid w:val="00CC12D8"/>
    <w:rsid w:val="00CC1BB5"/>
    <w:rsid w:val="00CC2F89"/>
    <w:rsid w:val="00CC303D"/>
    <w:rsid w:val="00CC3EC1"/>
    <w:rsid w:val="00CC3FBF"/>
    <w:rsid w:val="00CC4302"/>
    <w:rsid w:val="00CC4328"/>
    <w:rsid w:val="00CC43A8"/>
    <w:rsid w:val="00CC48C3"/>
    <w:rsid w:val="00CC4BA8"/>
    <w:rsid w:val="00CC51FE"/>
    <w:rsid w:val="00CC570B"/>
    <w:rsid w:val="00CC57FC"/>
    <w:rsid w:val="00CC5A32"/>
    <w:rsid w:val="00CC636D"/>
    <w:rsid w:val="00CC63A0"/>
    <w:rsid w:val="00CC6615"/>
    <w:rsid w:val="00CC6948"/>
    <w:rsid w:val="00CC7ABD"/>
    <w:rsid w:val="00CC7C70"/>
    <w:rsid w:val="00CC7E60"/>
    <w:rsid w:val="00CD0A44"/>
    <w:rsid w:val="00CD1B98"/>
    <w:rsid w:val="00CD22A0"/>
    <w:rsid w:val="00CD23D8"/>
    <w:rsid w:val="00CD278B"/>
    <w:rsid w:val="00CD2828"/>
    <w:rsid w:val="00CD293E"/>
    <w:rsid w:val="00CD47F2"/>
    <w:rsid w:val="00CD519F"/>
    <w:rsid w:val="00CD5A1A"/>
    <w:rsid w:val="00CD5DE0"/>
    <w:rsid w:val="00CD6171"/>
    <w:rsid w:val="00CD6BC0"/>
    <w:rsid w:val="00CD72B9"/>
    <w:rsid w:val="00CD75E1"/>
    <w:rsid w:val="00CE05C1"/>
    <w:rsid w:val="00CE0665"/>
    <w:rsid w:val="00CE070D"/>
    <w:rsid w:val="00CE07DA"/>
    <w:rsid w:val="00CE0887"/>
    <w:rsid w:val="00CE0B37"/>
    <w:rsid w:val="00CE0CB8"/>
    <w:rsid w:val="00CE1105"/>
    <w:rsid w:val="00CE1331"/>
    <w:rsid w:val="00CE18FE"/>
    <w:rsid w:val="00CE2E31"/>
    <w:rsid w:val="00CE30E6"/>
    <w:rsid w:val="00CE3825"/>
    <w:rsid w:val="00CE3C07"/>
    <w:rsid w:val="00CE3D24"/>
    <w:rsid w:val="00CE47EA"/>
    <w:rsid w:val="00CE4929"/>
    <w:rsid w:val="00CE544F"/>
    <w:rsid w:val="00CE5971"/>
    <w:rsid w:val="00CE7225"/>
    <w:rsid w:val="00CE747E"/>
    <w:rsid w:val="00CF0147"/>
    <w:rsid w:val="00CF122A"/>
    <w:rsid w:val="00CF1B21"/>
    <w:rsid w:val="00CF1BBE"/>
    <w:rsid w:val="00CF2168"/>
    <w:rsid w:val="00CF2CE6"/>
    <w:rsid w:val="00CF2EC3"/>
    <w:rsid w:val="00CF41D9"/>
    <w:rsid w:val="00CF4298"/>
    <w:rsid w:val="00CF43DC"/>
    <w:rsid w:val="00CF4BEA"/>
    <w:rsid w:val="00CF4CFC"/>
    <w:rsid w:val="00CF4DC2"/>
    <w:rsid w:val="00CF531B"/>
    <w:rsid w:val="00CF5B47"/>
    <w:rsid w:val="00CF5C34"/>
    <w:rsid w:val="00CF7006"/>
    <w:rsid w:val="00CF792F"/>
    <w:rsid w:val="00CF7AD5"/>
    <w:rsid w:val="00D0043F"/>
    <w:rsid w:val="00D00725"/>
    <w:rsid w:val="00D008E3"/>
    <w:rsid w:val="00D00A6D"/>
    <w:rsid w:val="00D00E88"/>
    <w:rsid w:val="00D01228"/>
    <w:rsid w:val="00D02EF4"/>
    <w:rsid w:val="00D02F25"/>
    <w:rsid w:val="00D046C6"/>
    <w:rsid w:val="00D046E3"/>
    <w:rsid w:val="00D046EC"/>
    <w:rsid w:val="00D047D4"/>
    <w:rsid w:val="00D05032"/>
    <w:rsid w:val="00D053BA"/>
    <w:rsid w:val="00D0546D"/>
    <w:rsid w:val="00D05C33"/>
    <w:rsid w:val="00D05DF0"/>
    <w:rsid w:val="00D05E8F"/>
    <w:rsid w:val="00D05F63"/>
    <w:rsid w:val="00D06507"/>
    <w:rsid w:val="00D06E0C"/>
    <w:rsid w:val="00D06F18"/>
    <w:rsid w:val="00D0728C"/>
    <w:rsid w:val="00D07B3A"/>
    <w:rsid w:val="00D07D1E"/>
    <w:rsid w:val="00D10106"/>
    <w:rsid w:val="00D10499"/>
    <w:rsid w:val="00D105BC"/>
    <w:rsid w:val="00D11332"/>
    <w:rsid w:val="00D1265A"/>
    <w:rsid w:val="00D12A66"/>
    <w:rsid w:val="00D12EE7"/>
    <w:rsid w:val="00D130CD"/>
    <w:rsid w:val="00D1351F"/>
    <w:rsid w:val="00D14106"/>
    <w:rsid w:val="00D14341"/>
    <w:rsid w:val="00D1488B"/>
    <w:rsid w:val="00D14B9A"/>
    <w:rsid w:val="00D14BC7"/>
    <w:rsid w:val="00D15006"/>
    <w:rsid w:val="00D1508D"/>
    <w:rsid w:val="00D15402"/>
    <w:rsid w:val="00D15E9B"/>
    <w:rsid w:val="00D16143"/>
    <w:rsid w:val="00D166EA"/>
    <w:rsid w:val="00D1787B"/>
    <w:rsid w:val="00D17BE4"/>
    <w:rsid w:val="00D17D1A"/>
    <w:rsid w:val="00D213A8"/>
    <w:rsid w:val="00D21FC6"/>
    <w:rsid w:val="00D2271E"/>
    <w:rsid w:val="00D23742"/>
    <w:rsid w:val="00D23B33"/>
    <w:rsid w:val="00D24541"/>
    <w:rsid w:val="00D246B3"/>
    <w:rsid w:val="00D24BB8"/>
    <w:rsid w:val="00D257C1"/>
    <w:rsid w:val="00D2639E"/>
    <w:rsid w:val="00D263F9"/>
    <w:rsid w:val="00D26DF2"/>
    <w:rsid w:val="00D27384"/>
    <w:rsid w:val="00D2758B"/>
    <w:rsid w:val="00D277DF"/>
    <w:rsid w:val="00D27BF3"/>
    <w:rsid w:val="00D302EA"/>
    <w:rsid w:val="00D30541"/>
    <w:rsid w:val="00D3158C"/>
    <w:rsid w:val="00D31721"/>
    <w:rsid w:val="00D32BB2"/>
    <w:rsid w:val="00D330D2"/>
    <w:rsid w:val="00D33681"/>
    <w:rsid w:val="00D33F41"/>
    <w:rsid w:val="00D3472F"/>
    <w:rsid w:val="00D34E48"/>
    <w:rsid w:val="00D3616F"/>
    <w:rsid w:val="00D361C7"/>
    <w:rsid w:val="00D36446"/>
    <w:rsid w:val="00D367DF"/>
    <w:rsid w:val="00D367E6"/>
    <w:rsid w:val="00D36A79"/>
    <w:rsid w:val="00D37FE7"/>
    <w:rsid w:val="00D40123"/>
    <w:rsid w:val="00D40367"/>
    <w:rsid w:val="00D406D7"/>
    <w:rsid w:val="00D4097D"/>
    <w:rsid w:val="00D40F06"/>
    <w:rsid w:val="00D41347"/>
    <w:rsid w:val="00D413D0"/>
    <w:rsid w:val="00D41617"/>
    <w:rsid w:val="00D42619"/>
    <w:rsid w:val="00D426D5"/>
    <w:rsid w:val="00D42D45"/>
    <w:rsid w:val="00D435E0"/>
    <w:rsid w:val="00D45135"/>
    <w:rsid w:val="00D4520F"/>
    <w:rsid w:val="00D454CE"/>
    <w:rsid w:val="00D46138"/>
    <w:rsid w:val="00D47C8B"/>
    <w:rsid w:val="00D47CFC"/>
    <w:rsid w:val="00D47D6B"/>
    <w:rsid w:val="00D50C2B"/>
    <w:rsid w:val="00D5206E"/>
    <w:rsid w:val="00D5221B"/>
    <w:rsid w:val="00D5227E"/>
    <w:rsid w:val="00D52296"/>
    <w:rsid w:val="00D5238F"/>
    <w:rsid w:val="00D52EE7"/>
    <w:rsid w:val="00D52F4F"/>
    <w:rsid w:val="00D530C6"/>
    <w:rsid w:val="00D53E3B"/>
    <w:rsid w:val="00D54CCD"/>
    <w:rsid w:val="00D55015"/>
    <w:rsid w:val="00D55713"/>
    <w:rsid w:val="00D5582C"/>
    <w:rsid w:val="00D55B4E"/>
    <w:rsid w:val="00D5699E"/>
    <w:rsid w:val="00D57050"/>
    <w:rsid w:val="00D57201"/>
    <w:rsid w:val="00D572A0"/>
    <w:rsid w:val="00D5781F"/>
    <w:rsid w:val="00D578B9"/>
    <w:rsid w:val="00D57C8F"/>
    <w:rsid w:val="00D57E7D"/>
    <w:rsid w:val="00D60701"/>
    <w:rsid w:val="00D60D28"/>
    <w:rsid w:val="00D61ABA"/>
    <w:rsid w:val="00D61B40"/>
    <w:rsid w:val="00D62AAB"/>
    <w:rsid w:val="00D62BF4"/>
    <w:rsid w:val="00D63874"/>
    <w:rsid w:val="00D638EE"/>
    <w:rsid w:val="00D64812"/>
    <w:rsid w:val="00D65C65"/>
    <w:rsid w:val="00D66E52"/>
    <w:rsid w:val="00D677C7"/>
    <w:rsid w:val="00D70E28"/>
    <w:rsid w:val="00D715C8"/>
    <w:rsid w:val="00D7195E"/>
    <w:rsid w:val="00D719F0"/>
    <w:rsid w:val="00D71ACF"/>
    <w:rsid w:val="00D730CE"/>
    <w:rsid w:val="00D73263"/>
    <w:rsid w:val="00D739F2"/>
    <w:rsid w:val="00D74A1A"/>
    <w:rsid w:val="00D752C7"/>
    <w:rsid w:val="00D758C4"/>
    <w:rsid w:val="00D75C0D"/>
    <w:rsid w:val="00D75C6E"/>
    <w:rsid w:val="00D75DB4"/>
    <w:rsid w:val="00D76353"/>
    <w:rsid w:val="00D763CD"/>
    <w:rsid w:val="00D76746"/>
    <w:rsid w:val="00D76AB3"/>
    <w:rsid w:val="00D76DB2"/>
    <w:rsid w:val="00D7754A"/>
    <w:rsid w:val="00D779B8"/>
    <w:rsid w:val="00D807F3"/>
    <w:rsid w:val="00D80F88"/>
    <w:rsid w:val="00D80FD1"/>
    <w:rsid w:val="00D812E6"/>
    <w:rsid w:val="00D813BC"/>
    <w:rsid w:val="00D82FD6"/>
    <w:rsid w:val="00D833FB"/>
    <w:rsid w:val="00D83435"/>
    <w:rsid w:val="00D841EA"/>
    <w:rsid w:val="00D84215"/>
    <w:rsid w:val="00D853F0"/>
    <w:rsid w:val="00D85B37"/>
    <w:rsid w:val="00D8613D"/>
    <w:rsid w:val="00D861C1"/>
    <w:rsid w:val="00D862BB"/>
    <w:rsid w:val="00D86648"/>
    <w:rsid w:val="00D86EDA"/>
    <w:rsid w:val="00D86FAE"/>
    <w:rsid w:val="00D87C24"/>
    <w:rsid w:val="00D9064E"/>
    <w:rsid w:val="00D91986"/>
    <w:rsid w:val="00D921B2"/>
    <w:rsid w:val="00D92455"/>
    <w:rsid w:val="00D92531"/>
    <w:rsid w:val="00D92A29"/>
    <w:rsid w:val="00D92D4B"/>
    <w:rsid w:val="00D9373F"/>
    <w:rsid w:val="00D937DA"/>
    <w:rsid w:val="00D93920"/>
    <w:rsid w:val="00D94331"/>
    <w:rsid w:val="00D94530"/>
    <w:rsid w:val="00D953B9"/>
    <w:rsid w:val="00D95AA0"/>
    <w:rsid w:val="00D961B6"/>
    <w:rsid w:val="00D9742F"/>
    <w:rsid w:val="00D97717"/>
    <w:rsid w:val="00D97B3E"/>
    <w:rsid w:val="00DA03C5"/>
    <w:rsid w:val="00DA0A48"/>
    <w:rsid w:val="00DA15D9"/>
    <w:rsid w:val="00DA1823"/>
    <w:rsid w:val="00DA1CC4"/>
    <w:rsid w:val="00DA1F4C"/>
    <w:rsid w:val="00DA26FF"/>
    <w:rsid w:val="00DA2FD8"/>
    <w:rsid w:val="00DA40E1"/>
    <w:rsid w:val="00DA44DC"/>
    <w:rsid w:val="00DA481E"/>
    <w:rsid w:val="00DA4D0E"/>
    <w:rsid w:val="00DA525C"/>
    <w:rsid w:val="00DA6C45"/>
    <w:rsid w:val="00DA71B1"/>
    <w:rsid w:val="00DA733E"/>
    <w:rsid w:val="00DA7A73"/>
    <w:rsid w:val="00DA7BAF"/>
    <w:rsid w:val="00DA7E6F"/>
    <w:rsid w:val="00DB07D3"/>
    <w:rsid w:val="00DB0833"/>
    <w:rsid w:val="00DB0A84"/>
    <w:rsid w:val="00DB0D0A"/>
    <w:rsid w:val="00DB0FB7"/>
    <w:rsid w:val="00DB11B2"/>
    <w:rsid w:val="00DB125A"/>
    <w:rsid w:val="00DB1982"/>
    <w:rsid w:val="00DB1A86"/>
    <w:rsid w:val="00DB1B16"/>
    <w:rsid w:val="00DB372F"/>
    <w:rsid w:val="00DB3A5C"/>
    <w:rsid w:val="00DB3A8D"/>
    <w:rsid w:val="00DB3B94"/>
    <w:rsid w:val="00DB3C9D"/>
    <w:rsid w:val="00DB4624"/>
    <w:rsid w:val="00DB4A7F"/>
    <w:rsid w:val="00DB4C6B"/>
    <w:rsid w:val="00DB5BA1"/>
    <w:rsid w:val="00DB641A"/>
    <w:rsid w:val="00DB67FD"/>
    <w:rsid w:val="00DB69F8"/>
    <w:rsid w:val="00DB7AE5"/>
    <w:rsid w:val="00DB7E6F"/>
    <w:rsid w:val="00DB7F53"/>
    <w:rsid w:val="00DC0985"/>
    <w:rsid w:val="00DC0B34"/>
    <w:rsid w:val="00DC0B98"/>
    <w:rsid w:val="00DC1206"/>
    <w:rsid w:val="00DC17C9"/>
    <w:rsid w:val="00DC193A"/>
    <w:rsid w:val="00DC1AD3"/>
    <w:rsid w:val="00DC1D74"/>
    <w:rsid w:val="00DC32B8"/>
    <w:rsid w:val="00DC4CFF"/>
    <w:rsid w:val="00DC4F27"/>
    <w:rsid w:val="00DC5162"/>
    <w:rsid w:val="00DC5299"/>
    <w:rsid w:val="00DC52BF"/>
    <w:rsid w:val="00DC5420"/>
    <w:rsid w:val="00DC5E74"/>
    <w:rsid w:val="00DC6B2C"/>
    <w:rsid w:val="00DC749C"/>
    <w:rsid w:val="00DC78EA"/>
    <w:rsid w:val="00DC7E53"/>
    <w:rsid w:val="00DD0429"/>
    <w:rsid w:val="00DD06E9"/>
    <w:rsid w:val="00DD0D21"/>
    <w:rsid w:val="00DD0F13"/>
    <w:rsid w:val="00DD1255"/>
    <w:rsid w:val="00DD1CDD"/>
    <w:rsid w:val="00DD2329"/>
    <w:rsid w:val="00DD2467"/>
    <w:rsid w:val="00DD2524"/>
    <w:rsid w:val="00DD31A8"/>
    <w:rsid w:val="00DD31E9"/>
    <w:rsid w:val="00DD3BB7"/>
    <w:rsid w:val="00DD3BC2"/>
    <w:rsid w:val="00DD3DFC"/>
    <w:rsid w:val="00DD4A3F"/>
    <w:rsid w:val="00DD4EC5"/>
    <w:rsid w:val="00DD5873"/>
    <w:rsid w:val="00DD616E"/>
    <w:rsid w:val="00DD638F"/>
    <w:rsid w:val="00DD7199"/>
    <w:rsid w:val="00DE07AD"/>
    <w:rsid w:val="00DE1A57"/>
    <w:rsid w:val="00DE29D2"/>
    <w:rsid w:val="00DE33AF"/>
    <w:rsid w:val="00DE3672"/>
    <w:rsid w:val="00DE569E"/>
    <w:rsid w:val="00DE7642"/>
    <w:rsid w:val="00DF011D"/>
    <w:rsid w:val="00DF0FAA"/>
    <w:rsid w:val="00DF122C"/>
    <w:rsid w:val="00DF13EA"/>
    <w:rsid w:val="00DF1EEB"/>
    <w:rsid w:val="00DF22DB"/>
    <w:rsid w:val="00DF2484"/>
    <w:rsid w:val="00DF2C54"/>
    <w:rsid w:val="00DF2FCD"/>
    <w:rsid w:val="00DF31B8"/>
    <w:rsid w:val="00DF3429"/>
    <w:rsid w:val="00DF41EB"/>
    <w:rsid w:val="00DF43F8"/>
    <w:rsid w:val="00DF4417"/>
    <w:rsid w:val="00DF4752"/>
    <w:rsid w:val="00DF48FB"/>
    <w:rsid w:val="00DF552C"/>
    <w:rsid w:val="00DF56B5"/>
    <w:rsid w:val="00DF58C5"/>
    <w:rsid w:val="00DF5CC1"/>
    <w:rsid w:val="00DF5E36"/>
    <w:rsid w:val="00DF63A8"/>
    <w:rsid w:val="00DF66FF"/>
    <w:rsid w:val="00DF676B"/>
    <w:rsid w:val="00DF6897"/>
    <w:rsid w:val="00DF6A21"/>
    <w:rsid w:val="00DF6C97"/>
    <w:rsid w:val="00DF70A3"/>
    <w:rsid w:val="00DF75B0"/>
    <w:rsid w:val="00DF78A6"/>
    <w:rsid w:val="00E000C8"/>
    <w:rsid w:val="00E00622"/>
    <w:rsid w:val="00E007DB"/>
    <w:rsid w:val="00E01057"/>
    <w:rsid w:val="00E0149B"/>
    <w:rsid w:val="00E01B4D"/>
    <w:rsid w:val="00E01F2D"/>
    <w:rsid w:val="00E025F6"/>
    <w:rsid w:val="00E027EB"/>
    <w:rsid w:val="00E02998"/>
    <w:rsid w:val="00E033D5"/>
    <w:rsid w:val="00E03D5F"/>
    <w:rsid w:val="00E0541B"/>
    <w:rsid w:val="00E0561C"/>
    <w:rsid w:val="00E0591E"/>
    <w:rsid w:val="00E06B7D"/>
    <w:rsid w:val="00E06F4E"/>
    <w:rsid w:val="00E0724D"/>
    <w:rsid w:val="00E073E0"/>
    <w:rsid w:val="00E07CBF"/>
    <w:rsid w:val="00E10E87"/>
    <w:rsid w:val="00E123EE"/>
    <w:rsid w:val="00E12E3B"/>
    <w:rsid w:val="00E12EEC"/>
    <w:rsid w:val="00E1319B"/>
    <w:rsid w:val="00E140CF"/>
    <w:rsid w:val="00E14484"/>
    <w:rsid w:val="00E15111"/>
    <w:rsid w:val="00E1574D"/>
    <w:rsid w:val="00E16031"/>
    <w:rsid w:val="00E162F1"/>
    <w:rsid w:val="00E16409"/>
    <w:rsid w:val="00E17397"/>
    <w:rsid w:val="00E1747E"/>
    <w:rsid w:val="00E20DBC"/>
    <w:rsid w:val="00E210C9"/>
    <w:rsid w:val="00E23B50"/>
    <w:rsid w:val="00E24274"/>
    <w:rsid w:val="00E245CD"/>
    <w:rsid w:val="00E2503C"/>
    <w:rsid w:val="00E25558"/>
    <w:rsid w:val="00E258A1"/>
    <w:rsid w:val="00E25DAD"/>
    <w:rsid w:val="00E26128"/>
    <w:rsid w:val="00E266AC"/>
    <w:rsid w:val="00E267F2"/>
    <w:rsid w:val="00E26B5F"/>
    <w:rsid w:val="00E26F0A"/>
    <w:rsid w:val="00E26F86"/>
    <w:rsid w:val="00E27118"/>
    <w:rsid w:val="00E30291"/>
    <w:rsid w:val="00E30ABD"/>
    <w:rsid w:val="00E311D0"/>
    <w:rsid w:val="00E3238B"/>
    <w:rsid w:val="00E3272B"/>
    <w:rsid w:val="00E33501"/>
    <w:rsid w:val="00E33A84"/>
    <w:rsid w:val="00E33E73"/>
    <w:rsid w:val="00E3502D"/>
    <w:rsid w:val="00E35A0E"/>
    <w:rsid w:val="00E36162"/>
    <w:rsid w:val="00E366AF"/>
    <w:rsid w:val="00E37D93"/>
    <w:rsid w:val="00E41942"/>
    <w:rsid w:val="00E41AB3"/>
    <w:rsid w:val="00E41C71"/>
    <w:rsid w:val="00E42E09"/>
    <w:rsid w:val="00E4315C"/>
    <w:rsid w:val="00E433A6"/>
    <w:rsid w:val="00E433DD"/>
    <w:rsid w:val="00E438BF"/>
    <w:rsid w:val="00E43D02"/>
    <w:rsid w:val="00E43E45"/>
    <w:rsid w:val="00E43F95"/>
    <w:rsid w:val="00E45AE4"/>
    <w:rsid w:val="00E46029"/>
    <w:rsid w:val="00E47282"/>
    <w:rsid w:val="00E47365"/>
    <w:rsid w:val="00E47513"/>
    <w:rsid w:val="00E479BE"/>
    <w:rsid w:val="00E47CB5"/>
    <w:rsid w:val="00E50E34"/>
    <w:rsid w:val="00E50F4C"/>
    <w:rsid w:val="00E518D2"/>
    <w:rsid w:val="00E5194B"/>
    <w:rsid w:val="00E51EED"/>
    <w:rsid w:val="00E52931"/>
    <w:rsid w:val="00E5331A"/>
    <w:rsid w:val="00E54169"/>
    <w:rsid w:val="00E5459A"/>
    <w:rsid w:val="00E54997"/>
    <w:rsid w:val="00E54D5F"/>
    <w:rsid w:val="00E5509E"/>
    <w:rsid w:val="00E55569"/>
    <w:rsid w:val="00E5573E"/>
    <w:rsid w:val="00E55D00"/>
    <w:rsid w:val="00E55E23"/>
    <w:rsid w:val="00E55EE4"/>
    <w:rsid w:val="00E5624D"/>
    <w:rsid w:val="00E56B80"/>
    <w:rsid w:val="00E57341"/>
    <w:rsid w:val="00E60B28"/>
    <w:rsid w:val="00E60BE5"/>
    <w:rsid w:val="00E61B2C"/>
    <w:rsid w:val="00E61EBC"/>
    <w:rsid w:val="00E62096"/>
    <w:rsid w:val="00E636FE"/>
    <w:rsid w:val="00E639F2"/>
    <w:rsid w:val="00E6449E"/>
    <w:rsid w:val="00E645BC"/>
    <w:rsid w:val="00E65A19"/>
    <w:rsid w:val="00E66CBD"/>
    <w:rsid w:val="00E6778D"/>
    <w:rsid w:val="00E67BFA"/>
    <w:rsid w:val="00E70832"/>
    <w:rsid w:val="00E70FDF"/>
    <w:rsid w:val="00E71695"/>
    <w:rsid w:val="00E71B65"/>
    <w:rsid w:val="00E71BC5"/>
    <w:rsid w:val="00E72139"/>
    <w:rsid w:val="00E72BD5"/>
    <w:rsid w:val="00E72BF6"/>
    <w:rsid w:val="00E72C38"/>
    <w:rsid w:val="00E730A2"/>
    <w:rsid w:val="00E7324F"/>
    <w:rsid w:val="00E735AB"/>
    <w:rsid w:val="00E73870"/>
    <w:rsid w:val="00E73BF9"/>
    <w:rsid w:val="00E73DF9"/>
    <w:rsid w:val="00E74091"/>
    <w:rsid w:val="00E746F1"/>
    <w:rsid w:val="00E75888"/>
    <w:rsid w:val="00E7624A"/>
    <w:rsid w:val="00E766F0"/>
    <w:rsid w:val="00E77DCE"/>
    <w:rsid w:val="00E77EE6"/>
    <w:rsid w:val="00E811FE"/>
    <w:rsid w:val="00E81C22"/>
    <w:rsid w:val="00E822B0"/>
    <w:rsid w:val="00E82D2A"/>
    <w:rsid w:val="00E834D9"/>
    <w:rsid w:val="00E84410"/>
    <w:rsid w:val="00E86982"/>
    <w:rsid w:val="00E8727B"/>
    <w:rsid w:val="00E87958"/>
    <w:rsid w:val="00E87A03"/>
    <w:rsid w:val="00E903F7"/>
    <w:rsid w:val="00E9075A"/>
    <w:rsid w:val="00E90A0E"/>
    <w:rsid w:val="00E913BA"/>
    <w:rsid w:val="00E9172A"/>
    <w:rsid w:val="00E918AD"/>
    <w:rsid w:val="00E918D5"/>
    <w:rsid w:val="00E91C46"/>
    <w:rsid w:val="00E92530"/>
    <w:rsid w:val="00E92B39"/>
    <w:rsid w:val="00E92D3A"/>
    <w:rsid w:val="00E93D34"/>
    <w:rsid w:val="00E9429D"/>
    <w:rsid w:val="00E9445E"/>
    <w:rsid w:val="00E9468A"/>
    <w:rsid w:val="00E948BF"/>
    <w:rsid w:val="00E94B6B"/>
    <w:rsid w:val="00E95807"/>
    <w:rsid w:val="00E95912"/>
    <w:rsid w:val="00E95A31"/>
    <w:rsid w:val="00E95F2F"/>
    <w:rsid w:val="00E9737F"/>
    <w:rsid w:val="00E97432"/>
    <w:rsid w:val="00EA034B"/>
    <w:rsid w:val="00EA0637"/>
    <w:rsid w:val="00EA2DBD"/>
    <w:rsid w:val="00EA3224"/>
    <w:rsid w:val="00EA388E"/>
    <w:rsid w:val="00EA3C06"/>
    <w:rsid w:val="00EA3EFD"/>
    <w:rsid w:val="00EA4401"/>
    <w:rsid w:val="00EA45BE"/>
    <w:rsid w:val="00EA5F7A"/>
    <w:rsid w:val="00EA6428"/>
    <w:rsid w:val="00EA709E"/>
    <w:rsid w:val="00EA7E5F"/>
    <w:rsid w:val="00EB02B3"/>
    <w:rsid w:val="00EB05E6"/>
    <w:rsid w:val="00EB10B6"/>
    <w:rsid w:val="00EB2E11"/>
    <w:rsid w:val="00EB2EB6"/>
    <w:rsid w:val="00EB307B"/>
    <w:rsid w:val="00EB312F"/>
    <w:rsid w:val="00EB3829"/>
    <w:rsid w:val="00EB38A5"/>
    <w:rsid w:val="00EB3AEA"/>
    <w:rsid w:val="00EB4C1D"/>
    <w:rsid w:val="00EB50F3"/>
    <w:rsid w:val="00EB59C8"/>
    <w:rsid w:val="00EB6195"/>
    <w:rsid w:val="00EB73A6"/>
    <w:rsid w:val="00EB7661"/>
    <w:rsid w:val="00EC00BB"/>
    <w:rsid w:val="00EC01B9"/>
    <w:rsid w:val="00EC020F"/>
    <w:rsid w:val="00EC0E92"/>
    <w:rsid w:val="00EC2096"/>
    <w:rsid w:val="00EC2153"/>
    <w:rsid w:val="00EC225F"/>
    <w:rsid w:val="00EC23A5"/>
    <w:rsid w:val="00EC252D"/>
    <w:rsid w:val="00EC3591"/>
    <w:rsid w:val="00EC3C03"/>
    <w:rsid w:val="00EC4465"/>
    <w:rsid w:val="00EC47A4"/>
    <w:rsid w:val="00EC5068"/>
    <w:rsid w:val="00EC6677"/>
    <w:rsid w:val="00EC743A"/>
    <w:rsid w:val="00EC76B5"/>
    <w:rsid w:val="00EC779F"/>
    <w:rsid w:val="00ED0DFA"/>
    <w:rsid w:val="00ED0E87"/>
    <w:rsid w:val="00ED1DC8"/>
    <w:rsid w:val="00ED2C85"/>
    <w:rsid w:val="00ED3AE8"/>
    <w:rsid w:val="00ED3B0D"/>
    <w:rsid w:val="00ED3F02"/>
    <w:rsid w:val="00ED492C"/>
    <w:rsid w:val="00ED57F5"/>
    <w:rsid w:val="00ED5A12"/>
    <w:rsid w:val="00ED5E3E"/>
    <w:rsid w:val="00ED6C2E"/>
    <w:rsid w:val="00ED72EA"/>
    <w:rsid w:val="00ED786E"/>
    <w:rsid w:val="00ED7BB6"/>
    <w:rsid w:val="00EE13AE"/>
    <w:rsid w:val="00EE1B6F"/>
    <w:rsid w:val="00EE1E5D"/>
    <w:rsid w:val="00EE2A9A"/>
    <w:rsid w:val="00EE2D17"/>
    <w:rsid w:val="00EE344C"/>
    <w:rsid w:val="00EE36BD"/>
    <w:rsid w:val="00EE451F"/>
    <w:rsid w:val="00EE4A54"/>
    <w:rsid w:val="00EE4CC9"/>
    <w:rsid w:val="00EE601B"/>
    <w:rsid w:val="00EE62F5"/>
    <w:rsid w:val="00EE6D6A"/>
    <w:rsid w:val="00EE70F2"/>
    <w:rsid w:val="00EE72A8"/>
    <w:rsid w:val="00EE732F"/>
    <w:rsid w:val="00EE75EB"/>
    <w:rsid w:val="00EE7827"/>
    <w:rsid w:val="00EE7872"/>
    <w:rsid w:val="00EE7E52"/>
    <w:rsid w:val="00EF0183"/>
    <w:rsid w:val="00EF0580"/>
    <w:rsid w:val="00EF0966"/>
    <w:rsid w:val="00EF26B0"/>
    <w:rsid w:val="00EF2F28"/>
    <w:rsid w:val="00EF3AF0"/>
    <w:rsid w:val="00EF40CE"/>
    <w:rsid w:val="00EF4C82"/>
    <w:rsid w:val="00EF4FA0"/>
    <w:rsid w:val="00EF5495"/>
    <w:rsid w:val="00EF765B"/>
    <w:rsid w:val="00EF7DA9"/>
    <w:rsid w:val="00F01ABC"/>
    <w:rsid w:val="00F01C3B"/>
    <w:rsid w:val="00F02134"/>
    <w:rsid w:val="00F026DE"/>
    <w:rsid w:val="00F035CE"/>
    <w:rsid w:val="00F045D8"/>
    <w:rsid w:val="00F04625"/>
    <w:rsid w:val="00F048B7"/>
    <w:rsid w:val="00F04E73"/>
    <w:rsid w:val="00F05BA0"/>
    <w:rsid w:val="00F05EEC"/>
    <w:rsid w:val="00F061DE"/>
    <w:rsid w:val="00F06AF6"/>
    <w:rsid w:val="00F07565"/>
    <w:rsid w:val="00F076E5"/>
    <w:rsid w:val="00F105B0"/>
    <w:rsid w:val="00F10FB5"/>
    <w:rsid w:val="00F11B8E"/>
    <w:rsid w:val="00F11D62"/>
    <w:rsid w:val="00F11E79"/>
    <w:rsid w:val="00F11EFC"/>
    <w:rsid w:val="00F11FA1"/>
    <w:rsid w:val="00F120AD"/>
    <w:rsid w:val="00F12B66"/>
    <w:rsid w:val="00F12BED"/>
    <w:rsid w:val="00F137B9"/>
    <w:rsid w:val="00F14001"/>
    <w:rsid w:val="00F14520"/>
    <w:rsid w:val="00F15C68"/>
    <w:rsid w:val="00F163AA"/>
    <w:rsid w:val="00F16B4E"/>
    <w:rsid w:val="00F16BD2"/>
    <w:rsid w:val="00F17E5B"/>
    <w:rsid w:val="00F17E6D"/>
    <w:rsid w:val="00F17FCD"/>
    <w:rsid w:val="00F200F9"/>
    <w:rsid w:val="00F20149"/>
    <w:rsid w:val="00F20C50"/>
    <w:rsid w:val="00F20E05"/>
    <w:rsid w:val="00F214C6"/>
    <w:rsid w:val="00F21B24"/>
    <w:rsid w:val="00F21C71"/>
    <w:rsid w:val="00F21E3F"/>
    <w:rsid w:val="00F2245D"/>
    <w:rsid w:val="00F23282"/>
    <w:rsid w:val="00F2353B"/>
    <w:rsid w:val="00F24AC1"/>
    <w:rsid w:val="00F25683"/>
    <w:rsid w:val="00F25808"/>
    <w:rsid w:val="00F25C13"/>
    <w:rsid w:val="00F267D8"/>
    <w:rsid w:val="00F3150E"/>
    <w:rsid w:val="00F317C3"/>
    <w:rsid w:val="00F31A45"/>
    <w:rsid w:val="00F326B7"/>
    <w:rsid w:val="00F330CE"/>
    <w:rsid w:val="00F332A0"/>
    <w:rsid w:val="00F34032"/>
    <w:rsid w:val="00F341A9"/>
    <w:rsid w:val="00F3445E"/>
    <w:rsid w:val="00F348F6"/>
    <w:rsid w:val="00F35677"/>
    <w:rsid w:val="00F3568B"/>
    <w:rsid w:val="00F356AB"/>
    <w:rsid w:val="00F35DBA"/>
    <w:rsid w:val="00F36273"/>
    <w:rsid w:val="00F36ED5"/>
    <w:rsid w:val="00F371C0"/>
    <w:rsid w:val="00F404E4"/>
    <w:rsid w:val="00F4057C"/>
    <w:rsid w:val="00F406AE"/>
    <w:rsid w:val="00F40758"/>
    <w:rsid w:val="00F40AA8"/>
    <w:rsid w:val="00F411E4"/>
    <w:rsid w:val="00F414DC"/>
    <w:rsid w:val="00F41A5F"/>
    <w:rsid w:val="00F41EB7"/>
    <w:rsid w:val="00F420F6"/>
    <w:rsid w:val="00F42E92"/>
    <w:rsid w:val="00F43225"/>
    <w:rsid w:val="00F43428"/>
    <w:rsid w:val="00F43610"/>
    <w:rsid w:val="00F44043"/>
    <w:rsid w:val="00F446B0"/>
    <w:rsid w:val="00F44A67"/>
    <w:rsid w:val="00F44FC5"/>
    <w:rsid w:val="00F45B10"/>
    <w:rsid w:val="00F45B9C"/>
    <w:rsid w:val="00F45FD4"/>
    <w:rsid w:val="00F46441"/>
    <w:rsid w:val="00F46B71"/>
    <w:rsid w:val="00F47341"/>
    <w:rsid w:val="00F4734A"/>
    <w:rsid w:val="00F47793"/>
    <w:rsid w:val="00F50385"/>
    <w:rsid w:val="00F5038D"/>
    <w:rsid w:val="00F5057C"/>
    <w:rsid w:val="00F50FD3"/>
    <w:rsid w:val="00F51CEC"/>
    <w:rsid w:val="00F51DFA"/>
    <w:rsid w:val="00F51E74"/>
    <w:rsid w:val="00F5230D"/>
    <w:rsid w:val="00F5235F"/>
    <w:rsid w:val="00F5245B"/>
    <w:rsid w:val="00F526C2"/>
    <w:rsid w:val="00F52EB6"/>
    <w:rsid w:val="00F53B80"/>
    <w:rsid w:val="00F53D88"/>
    <w:rsid w:val="00F54647"/>
    <w:rsid w:val="00F54A87"/>
    <w:rsid w:val="00F54D2D"/>
    <w:rsid w:val="00F55743"/>
    <w:rsid w:val="00F55C73"/>
    <w:rsid w:val="00F565A4"/>
    <w:rsid w:val="00F5662D"/>
    <w:rsid w:val="00F60174"/>
    <w:rsid w:val="00F60575"/>
    <w:rsid w:val="00F61D0F"/>
    <w:rsid w:val="00F620D7"/>
    <w:rsid w:val="00F6225D"/>
    <w:rsid w:val="00F639D9"/>
    <w:rsid w:val="00F64822"/>
    <w:rsid w:val="00F65054"/>
    <w:rsid w:val="00F66388"/>
    <w:rsid w:val="00F66519"/>
    <w:rsid w:val="00F665B1"/>
    <w:rsid w:val="00F67D1B"/>
    <w:rsid w:val="00F70D93"/>
    <w:rsid w:val="00F7115B"/>
    <w:rsid w:val="00F71894"/>
    <w:rsid w:val="00F735DA"/>
    <w:rsid w:val="00F73A30"/>
    <w:rsid w:val="00F73C84"/>
    <w:rsid w:val="00F74EE5"/>
    <w:rsid w:val="00F753D6"/>
    <w:rsid w:val="00F75691"/>
    <w:rsid w:val="00F75CE8"/>
    <w:rsid w:val="00F7637C"/>
    <w:rsid w:val="00F76B7F"/>
    <w:rsid w:val="00F76CF7"/>
    <w:rsid w:val="00F77BAA"/>
    <w:rsid w:val="00F77DC7"/>
    <w:rsid w:val="00F8020B"/>
    <w:rsid w:val="00F802C5"/>
    <w:rsid w:val="00F804D6"/>
    <w:rsid w:val="00F806DB"/>
    <w:rsid w:val="00F807D7"/>
    <w:rsid w:val="00F809E8"/>
    <w:rsid w:val="00F80FD9"/>
    <w:rsid w:val="00F81656"/>
    <w:rsid w:val="00F81BE2"/>
    <w:rsid w:val="00F84557"/>
    <w:rsid w:val="00F84F48"/>
    <w:rsid w:val="00F85362"/>
    <w:rsid w:val="00F856C1"/>
    <w:rsid w:val="00F85B01"/>
    <w:rsid w:val="00F85C2D"/>
    <w:rsid w:val="00F864BC"/>
    <w:rsid w:val="00F8667A"/>
    <w:rsid w:val="00F867B7"/>
    <w:rsid w:val="00F86EA7"/>
    <w:rsid w:val="00F8704D"/>
    <w:rsid w:val="00F8754D"/>
    <w:rsid w:val="00F900A5"/>
    <w:rsid w:val="00F90744"/>
    <w:rsid w:val="00F90F39"/>
    <w:rsid w:val="00F91141"/>
    <w:rsid w:val="00F923FB"/>
    <w:rsid w:val="00F924AC"/>
    <w:rsid w:val="00F92FA5"/>
    <w:rsid w:val="00F946D3"/>
    <w:rsid w:val="00F95722"/>
    <w:rsid w:val="00F95F2B"/>
    <w:rsid w:val="00F968DD"/>
    <w:rsid w:val="00F969D6"/>
    <w:rsid w:val="00F9736F"/>
    <w:rsid w:val="00F9760C"/>
    <w:rsid w:val="00F976B6"/>
    <w:rsid w:val="00FA08AD"/>
    <w:rsid w:val="00FA09A7"/>
    <w:rsid w:val="00FA150C"/>
    <w:rsid w:val="00FA171D"/>
    <w:rsid w:val="00FA2323"/>
    <w:rsid w:val="00FA2BEA"/>
    <w:rsid w:val="00FA302B"/>
    <w:rsid w:val="00FA37B1"/>
    <w:rsid w:val="00FA3892"/>
    <w:rsid w:val="00FA3B6C"/>
    <w:rsid w:val="00FA4D81"/>
    <w:rsid w:val="00FA4F6A"/>
    <w:rsid w:val="00FA7603"/>
    <w:rsid w:val="00FA7C92"/>
    <w:rsid w:val="00FB0F92"/>
    <w:rsid w:val="00FB1D31"/>
    <w:rsid w:val="00FB213B"/>
    <w:rsid w:val="00FB297A"/>
    <w:rsid w:val="00FB3C8B"/>
    <w:rsid w:val="00FB3EC6"/>
    <w:rsid w:val="00FB4CED"/>
    <w:rsid w:val="00FB535C"/>
    <w:rsid w:val="00FB54D8"/>
    <w:rsid w:val="00FB5D15"/>
    <w:rsid w:val="00FB649A"/>
    <w:rsid w:val="00FB6ED2"/>
    <w:rsid w:val="00FB71E0"/>
    <w:rsid w:val="00FB74BA"/>
    <w:rsid w:val="00FC1A57"/>
    <w:rsid w:val="00FC1D18"/>
    <w:rsid w:val="00FC2348"/>
    <w:rsid w:val="00FC2C81"/>
    <w:rsid w:val="00FC2C84"/>
    <w:rsid w:val="00FC2E64"/>
    <w:rsid w:val="00FC339C"/>
    <w:rsid w:val="00FC340C"/>
    <w:rsid w:val="00FC3481"/>
    <w:rsid w:val="00FC44B9"/>
    <w:rsid w:val="00FC4704"/>
    <w:rsid w:val="00FC4AA3"/>
    <w:rsid w:val="00FC4BCD"/>
    <w:rsid w:val="00FC4FEB"/>
    <w:rsid w:val="00FC50E7"/>
    <w:rsid w:val="00FC51CE"/>
    <w:rsid w:val="00FC55A9"/>
    <w:rsid w:val="00FC5E0A"/>
    <w:rsid w:val="00FC5E94"/>
    <w:rsid w:val="00FC64DC"/>
    <w:rsid w:val="00FC67C1"/>
    <w:rsid w:val="00FC7E35"/>
    <w:rsid w:val="00FC7F60"/>
    <w:rsid w:val="00FD0ACF"/>
    <w:rsid w:val="00FD2806"/>
    <w:rsid w:val="00FD31E2"/>
    <w:rsid w:val="00FD44EA"/>
    <w:rsid w:val="00FD4AD2"/>
    <w:rsid w:val="00FD4AD4"/>
    <w:rsid w:val="00FD4D2F"/>
    <w:rsid w:val="00FD4D9E"/>
    <w:rsid w:val="00FD7447"/>
    <w:rsid w:val="00FD7CD8"/>
    <w:rsid w:val="00FD7D77"/>
    <w:rsid w:val="00FE0167"/>
    <w:rsid w:val="00FE0704"/>
    <w:rsid w:val="00FE07D9"/>
    <w:rsid w:val="00FE0832"/>
    <w:rsid w:val="00FE0D8C"/>
    <w:rsid w:val="00FE1135"/>
    <w:rsid w:val="00FE1F29"/>
    <w:rsid w:val="00FE2DD1"/>
    <w:rsid w:val="00FE3DE1"/>
    <w:rsid w:val="00FE3EF1"/>
    <w:rsid w:val="00FE5195"/>
    <w:rsid w:val="00FE59C6"/>
    <w:rsid w:val="00FE5BB7"/>
    <w:rsid w:val="00FE6F11"/>
    <w:rsid w:val="00FE7197"/>
    <w:rsid w:val="00FE71A7"/>
    <w:rsid w:val="00FF0A2B"/>
    <w:rsid w:val="00FF19B7"/>
    <w:rsid w:val="00FF1A33"/>
    <w:rsid w:val="00FF1B18"/>
    <w:rsid w:val="00FF1C47"/>
    <w:rsid w:val="00FF23A9"/>
    <w:rsid w:val="00FF4A7C"/>
    <w:rsid w:val="00FF4DE5"/>
    <w:rsid w:val="00FF5392"/>
    <w:rsid w:val="00FF5421"/>
    <w:rsid w:val="00FF5D0C"/>
    <w:rsid w:val="00FF5E21"/>
    <w:rsid w:val="00FF6373"/>
    <w:rsid w:val="00FF6388"/>
    <w:rsid w:val="00FF6608"/>
    <w:rsid w:val="00FF68A8"/>
    <w:rsid w:val="00FF6CBD"/>
    <w:rsid w:val="00FF79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7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7822"/>
    <w:rPr>
      <w:sz w:val="18"/>
      <w:szCs w:val="18"/>
    </w:rPr>
  </w:style>
  <w:style w:type="paragraph" w:styleId="a4">
    <w:name w:val="footer"/>
    <w:basedOn w:val="a"/>
    <w:link w:val="Char0"/>
    <w:uiPriority w:val="99"/>
    <w:unhideWhenUsed/>
    <w:rsid w:val="008D7822"/>
    <w:pPr>
      <w:tabs>
        <w:tab w:val="center" w:pos="4153"/>
        <w:tab w:val="right" w:pos="8306"/>
      </w:tabs>
      <w:snapToGrid w:val="0"/>
      <w:jc w:val="left"/>
    </w:pPr>
    <w:rPr>
      <w:sz w:val="18"/>
      <w:szCs w:val="18"/>
    </w:rPr>
  </w:style>
  <w:style w:type="character" w:customStyle="1" w:styleId="Char0">
    <w:name w:val="页脚 Char"/>
    <w:basedOn w:val="a0"/>
    <w:link w:val="a4"/>
    <w:uiPriority w:val="99"/>
    <w:rsid w:val="008D7822"/>
    <w:rPr>
      <w:sz w:val="18"/>
      <w:szCs w:val="18"/>
    </w:rPr>
  </w:style>
  <w:style w:type="paragraph" w:styleId="a5">
    <w:name w:val="List Paragraph"/>
    <w:basedOn w:val="a"/>
    <w:uiPriority w:val="34"/>
    <w:qFormat/>
    <w:rsid w:val="008D7822"/>
    <w:pPr>
      <w:ind w:firstLineChars="200" w:firstLine="420"/>
    </w:pPr>
  </w:style>
  <w:style w:type="table" w:styleId="a6">
    <w:name w:val="Table Grid"/>
    <w:basedOn w:val="a1"/>
    <w:uiPriority w:val="59"/>
    <w:rsid w:val="006E0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3359EB"/>
    <w:pPr>
      <w:ind w:firstLineChars="200" w:firstLine="420"/>
    </w:pPr>
    <w:rPr>
      <w:rFonts w:ascii="Times New Roman" w:eastAsia="宋体" w:hAnsi="Times New Roman" w:cs="Times New Roman"/>
      <w:szCs w:val="24"/>
    </w:rPr>
  </w:style>
  <w:style w:type="paragraph" w:customStyle="1" w:styleId="2">
    <w:name w:val="列出段落2"/>
    <w:basedOn w:val="a"/>
    <w:rsid w:val="003359EB"/>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zhangchi\&#23439;&#35266;&#23395;&#24230;&#25253;&#21578;\&#23395;&#24230;&#65306;GDP&#21644;&#24037;&#19994;&#22686;&#21152;&#20540;&#65288;2003q1&#22987;&#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zhangchi\&#23439;&#35266;&#23395;&#24230;&#25253;&#21578;\&#23395;&#24230;&#65306;&#20215;&#26684;&#25351;&#2596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zhangchi\&#23439;&#35266;&#23395;&#24230;&#25253;&#21578;\&#23395;&#24230;&#65306;&#22266;&#23450;&#36164;&#20135;&#25237;&#36164;&#21644;&#28040;&#36153;&#21697;&#38646;&#21806;&#3906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zhangchi\&#23439;&#35266;&#23395;&#24230;&#25253;&#21578;\&#23395;&#24230;&#65306;&#36827;&#20986;&#21475;&#19982;&#36152;&#26131;&#39034;&#2404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sz="1200" b="0" i="0" u="none" strike="noStrike" baseline="0">
                <a:solidFill>
                  <a:srgbClr val="000000"/>
                </a:solidFill>
                <a:latin typeface="宋体"/>
                <a:ea typeface="宋体"/>
              </a:rPr>
              <a:t>GDP及规模以上工业增加值单季同比增长率（%）</a:t>
            </a:r>
          </a:p>
        </c:rich>
      </c:tx>
      <c:layout>
        <c:manualLayout>
          <c:xMode val="edge"/>
          <c:yMode val="edge"/>
          <c:x val="0.14876048081538573"/>
          <c:y val="3.7931034482758801E-2"/>
        </c:manualLayout>
      </c:layout>
      <c:spPr>
        <a:noFill/>
        <a:ln w="25400">
          <a:noFill/>
        </a:ln>
      </c:spPr>
    </c:title>
    <c:plotArea>
      <c:layout>
        <c:manualLayout>
          <c:layoutTarget val="inner"/>
          <c:xMode val="edge"/>
          <c:yMode val="edge"/>
          <c:x val="9.2975300409289266E-2"/>
          <c:y val="0.20689655172413793"/>
          <c:w val="0.85537276376545857"/>
          <c:h val="0.44482758620689766"/>
        </c:manualLayout>
      </c:layout>
      <c:lineChart>
        <c:grouping val="standard"/>
        <c:ser>
          <c:idx val="0"/>
          <c:order val="0"/>
          <c:tx>
            <c:v>GDP</c:v>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Sheet1!$A$33:$A$66</c:f>
              <c:strCache>
                <c:ptCount val="34"/>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strCache>
            </c:strRef>
          </c:cat>
          <c:val>
            <c:numRef>
              <c:f>Sheet1!$B$33:$B$66</c:f>
              <c:numCache>
                <c:formatCode>General</c:formatCode>
                <c:ptCount val="34"/>
                <c:pt idx="0">
                  <c:v>11.9</c:v>
                </c:pt>
                <c:pt idx="1">
                  <c:v>10.3</c:v>
                </c:pt>
                <c:pt idx="2">
                  <c:v>9.6</c:v>
                </c:pt>
                <c:pt idx="3">
                  <c:v>9.8000000000000007</c:v>
                </c:pt>
                <c:pt idx="4">
                  <c:v>9.7000000000000011</c:v>
                </c:pt>
                <c:pt idx="5">
                  <c:v>9.5</c:v>
                </c:pt>
                <c:pt idx="6">
                  <c:v>9.1</c:v>
                </c:pt>
                <c:pt idx="7">
                  <c:v>8.9</c:v>
                </c:pt>
                <c:pt idx="8">
                  <c:v>8.1</c:v>
                </c:pt>
                <c:pt idx="9">
                  <c:v>7.6</c:v>
                </c:pt>
                <c:pt idx="10">
                  <c:v>7.4</c:v>
                </c:pt>
                <c:pt idx="11">
                  <c:v>7.9</c:v>
                </c:pt>
                <c:pt idx="12">
                  <c:v>7.7</c:v>
                </c:pt>
                <c:pt idx="13">
                  <c:v>7.5</c:v>
                </c:pt>
                <c:pt idx="14">
                  <c:v>7.8</c:v>
                </c:pt>
                <c:pt idx="15">
                  <c:v>7.7</c:v>
                </c:pt>
                <c:pt idx="16">
                  <c:v>7.4</c:v>
                </c:pt>
                <c:pt idx="17">
                  <c:v>7.5</c:v>
                </c:pt>
                <c:pt idx="18">
                  <c:v>7.3</c:v>
                </c:pt>
                <c:pt idx="19">
                  <c:v>7.3</c:v>
                </c:pt>
                <c:pt idx="20">
                  <c:v>7</c:v>
                </c:pt>
                <c:pt idx="21">
                  <c:v>7</c:v>
                </c:pt>
                <c:pt idx="22">
                  <c:v>6.9</c:v>
                </c:pt>
                <c:pt idx="23">
                  <c:v>6.8</c:v>
                </c:pt>
                <c:pt idx="24">
                  <c:v>6.7</c:v>
                </c:pt>
                <c:pt idx="25">
                  <c:v>6.7</c:v>
                </c:pt>
                <c:pt idx="26">
                  <c:v>6.7</c:v>
                </c:pt>
                <c:pt idx="27">
                  <c:v>6.8</c:v>
                </c:pt>
                <c:pt idx="28">
                  <c:v>6.9</c:v>
                </c:pt>
                <c:pt idx="29">
                  <c:v>6.9</c:v>
                </c:pt>
                <c:pt idx="30">
                  <c:v>6.8</c:v>
                </c:pt>
                <c:pt idx="31">
                  <c:v>6.8</c:v>
                </c:pt>
                <c:pt idx="32">
                  <c:v>6.8</c:v>
                </c:pt>
                <c:pt idx="33">
                  <c:v>6.7</c:v>
                </c:pt>
              </c:numCache>
            </c:numRef>
          </c:val>
          <c:extLst xmlns:c16r2="http://schemas.microsoft.com/office/drawing/2015/06/chart">
            <c:ext xmlns:c16="http://schemas.microsoft.com/office/drawing/2014/chart" uri="{C3380CC4-5D6E-409C-BE32-E72D297353CC}">
              <c16:uniqueId val="{00000000-BBB8-4704-9E24-65087D6343A7}"/>
            </c:ext>
          </c:extLst>
        </c:ser>
        <c:ser>
          <c:idx val="1"/>
          <c:order val="1"/>
          <c:tx>
            <c:v>工业增加值</c:v>
          </c:tx>
          <c:spPr>
            <a:ln w="12700">
              <a:solidFill>
                <a:srgbClr val="FF00FF"/>
              </a:solidFill>
              <a:prstDash val="solid"/>
            </a:ln>
          </c:spPr>
          <c:marker>
            <c:symbol val="square"/>
            <c:size val="5"/>
            <c:spPr>
              <a:solidFill>
                <a:srgbClr val="FF00FF"/>
              </a:solidFill>
              <a:ln>
                <a:solidFill>
                  <a:srgbClr val="FF00FF"/>
                </a:solidFill>
                <a:prstDash val="solid"/>
              </a:ln>
            </c:spPr>
          </c:marker>
          <c:cat>
            <c:strRef>
              <c:f>Sheet1!$A$33:$A$66</c:f>
              <c:strCache>
                <c:ptCount val="34"/>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strCache>
            </c:strRef>
          </c:cat>
          <c:val>
            <c:numRef>
              <c:f>Sheet1!$C$33:$C$66</c:f>
              <c:numCache>
                <c:formatCode>General</c:formatCode>
                <c:ptCount val="34"/>
                <c:pt idx="0">
                  <c:v>19.600000000000001</c:v>
                </c:pt>
                <c:pt idx="1">
                  <c:v>15.6</c:v>
                </c:pt>
                <c:pt idx="2">
                  <c:v>13.5</c:v>
                </c:pt>
                <c:pt idx="3">
                  <c:v>13.3</c:v>
                </c:pt>
                <c:pt idx="4">
                  <c:v>14.4</c:v>
                </c:pt>
                <c:pt idx="5">
                  <c:v>14.2</c:v>
                </c:pt>
                <c:pt idx="6">
                  <c:v>14</c:v>
                </c:pt>
                <c:pt idx="7">
                  <c:v>13</c:v>
                </c:pt>
                <c:pt idx="8">
                  <c:v>11.6</c:v>
                </c:pt>
                <c:pt idx="9">
                  <c:v>9.4</c:v>
                </c:pt>
                <c:pt idx="10">
                  <c:v>9</c:v>
                </c:pt>
                <c:pt idx="11">
                  <c:v>10</c:v>
                </c:pt>
                <c:pt idx="12">
                  <c:v>9.5</c:v>
                </c:pt>
                <c:pt idx="13">
                  <c:v>9.1</c:v>
                </c:pt>
                <c:pt idx="14">
                  <c:v>10.200000000000001</c:v>
                </c:pt>
                <c:pt idx="15">
                  <c:v>10</c:v>
                </c:pt>
                <c:pt idx="16">
                  <c:v>8.7000000000000011</c:v>
                </c:pt>
                <c:pt idx="17">
                  <c:v>8.9</c:v>
                </c:pt>
                <c:pt idx="18">
                  <c:v>7.9</c:v>
                </c:pt>
                <c:pt idx="19">
                  <c:v>7.7</c:v>
                </c:pt>
                <c:pt idx="20">
                  <c:v>6.4</c:v>
                </c:pt>
                <c:pt idx="21">
                  <c:v>6.2</c:v>
                </c:pt>
                <c:pt idx="22">
                  <c:v>6.2</c:v>
                </c:pt>
                <c:pt idx="23">
                  <c:v>5.8</c:v>
                </c:pt>
                <c:pt idx="24">
                  <c:v>5.8</c:v>
                </c:pt>
                <c:pt idx="25">
                  <c:v>6.2</c:v>
                </c:pt>
                <c:pt idx="26">
                  <c:v>6</c:v>
                </c:pt>
                <c:pt idx="27">
                  <c:v>6</c:v>
                </c:pt>
                <c:pt idx="28">
                  <c:v>6.8</c:v>
                </c:pt>
                <c:pt idx="29">
                  <c:v>7</c:v>
                </c:pt>
                <c:pt idx="30">
                  <c:v>6.3</c:v>
                </c:pt>
                <c:pt idx="31">
                  <c:v>6.3</c:v>
                </c:pt>
                <c:pt idx="32">
                  <c:v>6.8</c:v>
                </c:pt>
                <c:pt idx="33">
                  <c:v>6.7</c:v>
                </c:pt>
              </c:numCache>
            </c:numRef>
          </c:val>
          <c:extLst xmlns:c16r2="http://schemas.microsoft.com/office/drawing/2015/06/chart">
            <c:ext xmlns:c16="http://schemas.microsoft.com/office/drawing/2014/chart" uri="{C3380CC4-5D6E-409C-BE32-E72D297353CC}">
              <c16:uniqueId val="{00000001-BBB8-4704-9E24-65087D6343A7}"/>
            </c:ext>
          </c:extLst>
        </c:ser>
        <c:marker val="1"/>
        <c:axId val="91059712"/>
        <c:axId val="91061632"/>
      </c:lineChart>
      <c:catAx>
        <c:axId val="91059712"/>
        <c:scaling>
          <c:orientation val="minMax"/>
        </c:scaling>
        <c:axPos val="b"/>
        <c:numFmt formatCode="General" sourceLinked="1"/>
        <c:majorTickMark val="in"/>
        <c:tickLblPos val="nextTo"/>
        <c:spPr>
          <a:ln w="3175">
            <a:solidFill>
              <a:srgbClr val="000000"/>
            </a:solidFill>
            <a:prstDash val="solid"/>
          </a:ln>
        </c:spPr>
        <c:txPr>
          <a:bodyPr rot="-5400000" vert="horz"/>
          <a:lstStyle/>
          <a:p>
            <a:pPr>
              <a:defRPr sz="1200" b="0" i="0" u="none" strike="noStrike" baseline="0">
                <a:solidFill>
                  <a:srgbClr val="000000"/>
                </a:solidFill>
                <a:latin typeface="宋体"/>
                <a:ea typeface="宋体"/>
                <a:cs typeface="宋体"/>
              </a:defRPr>
            </a:pPr>
            <a:endParaRPr lang="zh-CN"/>
          </a:p>
        </c:txPr>
        <c:crossAx val="91061632"/>
        <c:crosses val="autoZero"/>
        <c:auto val="1"/>
        <c:lblAlgn val="ctr"/>
        <c:lblOffset val="100"/>
        <c:tickLblSkip val="1"/>
        <c:tickMarkSkip val="1"/>
      </c:catAx>
      <c:valAx>
        <c:axId val="91061632"/>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91059712"/>
        <c:crosses val="autoZero"/>
        <c:crossBetween val="midCat"/>
      </c:valAx>
    </c:plotArea>
    <c:legend>
      <c:legendPos val="b"/>
      <c:layout>
        <c:manualLayout>
          <c:xMode val="edge"/>
          <c:yMode val="edge"/>
          <c:x val="0.33057895973120294"/>
          <c:y val="0.90344827586206677"/>
          <c:w val="0.37809961498003408"/>
          <c:h val="7.5862068965517324E-2"/>
        </c:manualLayout>
      </c:layout>
      <c:spPr>
        <a:solidFill>
          <a:srgbClr val="FFFFFF"/>
        </a:solidFill>
        <a:ln w="25400">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a:t>价格水平单季同比增长率（％）</a:t>
            </a:r>
          </a:p>
        </c:rich>
      </c:tx>
      <c:layout>
        <c:manualLayout>
          <c:xMode val="edge"/>
          <c:yMode val="edge"/>
          <c:x val="0.30988327464092258"/>
          <c:y val="3.7931034482758801E-2"/>
        </c:manualLayout>
      </c:layout>
      <c:spPr>
        <a:noFill/>
        <a:ln w="25400">
          <a:noFill/>
        </a:ln>
      </c:spPr>
    </c:title>
    <c:plotArea>
      <c:layout>
        <c:manualLayout>
          <c:layoutTarget val="inner"/>
          <c:xMode val="edge"/>
          <c:yMode val="edge"/>
          <c:x val="8.8777364650997267E-2"/>
          <c:y val="0.20689655172413793"/>
          <c:w val="0.85929788803700802"/>
          <c:h val="0.62068965517241659"/>
        </c:manualLayout>
      </c:layout>
      <c:lineChart>
        <c:grouping val="standard"/>
        <c:ser>
          <c:idx val="0"/>
          <c:order val="0"/>
          <c:tx>
            <c:v>CPI</c:v>
          </c:tx>
          <c:spPr>
            <a:ln w="12700">
              <a:solidFill>
                <a:srgbClr val="000080"/>
              </a:solidFill>
              <a:prstDash val="solid"/>
            </a:ln>
          </c:spPr>
          <c:marker>
            <c:symbol val="diamond"/>
            <c:size val="5"/>
            <c:spPr>
              <a:solidFill>
                <a:srgbClr val="000080"/>
              </a:solidFill>
              <a:ln>
                <a:solidFill>
                  <a:srgbClr val="000080"/>
                </a:solidFill>
                <a:prstDash val="solid"/>
              </a:ln>
            </c:spPr>
          </c:marker>
          <c:cat>
            <c:strRef>
              <c:f>价格增长率!$A$31:$A$64</c:f>
              <c:strCache>
                <c:ptCount val="34"/>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strCache>
            </c:strRef>
          </c:cat>
          <c:val>
            <c:numRef>
              <c:f>价格增长率!$B$31:$B$64</c:f>
              <c:numCache>
                <c:formatCode>General</c:formatCode>
                <c:ptCount val="34"/>
                <c:pt idx="0">
                  <c:v>2.2000000000000002</c:v>
                </c:pt>
                <c:pt idx="1">
                  <c:v>3</c:v>
                </c:pt>
                <c:pt idx="2">
                  <c:v>3.2</c:v>
                </c:pt>
                <c:pt idx="3">
                  <c:v>4.8</c:v>
                </c:pt>
                <c:pt idx="4">
                  <c:v>5</c:v>
                </c:pt>
                <c:pt idx="5">
                  <c:v>5.8</c:v>
                </c:pt>
                <c:pt idx="6">
                  <c:v>6.3</c:v>
                </c:pt>
                <c:pt idx="7">
                  <c:v>4.5</c:v>
                </c:pt>
                <c:pt idx="8">
                  <c:v>3.8</c:v>
                </c:pt>
                <c:pt idx="9">
                  <c:v>2.8</c:v>
                </c:pt>
                <c:pt idx="10">
                  <c:v>1.8</c:v>
                </c:pt>
                <c:pt idx="11">
                  <c:v>2</c:v>
                </c:pt>
                <c:pt idx="12">
                  <c:v>2.4</c:v>
                </c:pt>
                <c:pt idx="13">
                  <c:v>2.4</c:v>
                </c:pt>
                <c:pt idx="14">
                  <c:v>2.7</c:v>
                </c:pt>
                <c:pt idx="15">
                  <c:v>2.9</c:v>
                </c:pt>
                <c:pt idx="16">
                  <c:v>2.2999999999999998</c:v>
                </c:pt>
                <c:pt idx="17">
                  <c:v>2.2999999999999998</c:v>
                </c:pt>
                <c:pt idx="18">
                  <c:v>1.7</c:v>
                </c:pt>
                <c:pt idx="19">
                  <c:v>1.7</c:v>
                </c:pt>
                <c:pt idx="20">
                  <c:v>1.2</c:v>
                </c:pt>
                <c:pt idx="21">
                  <c:v>1.4</c:v>
                </c:pt>
                <c:pt idx="22">
                  <c:v>1.6</c:v>
                </c:pt>
                <c:pt idx="23">
                  <c:v>1.4</c:v>
                </c:pt>
                <c:pt idx="24">
                  <c:v>2.1</c:v>
                </c:pt>
                <c:pt idx="25">
                  <c:v>2.1</c:v>
                </c:pt>
                <c:pt idx="26">
                  <c:v>1.8</c:v>
                </c:pt>
                <c:pt idx="27">
                  <c:v>2</c:v>
                </c:pt>
                <c:pt idx="28">
                  <c:v>1.4</c:v>
                </c:pt>
                <c:pt idx="29">
                  <c:v>1.4</c:v>
                </c:pt>
                <c:pt idx="30">
                  <c:v>1.7</c:v>
                </c:pt>
                <c:pt idx="31">
                  <c:v>1.9000000000000001</c:v>
                </c:pt>
                <c:pt idx="32">
                  <c:v>2.1</c:v>
                </c:pt>
                <c:pt idx="33">
                  <c:v>2</c:v>
                </c:pt>
              </c:numCache>
            </c:numRef>
          </c:val>
          <c:extLst xmlns:c16r2="http://schemas.microsoft.com/office/drawing/2015/06/chart">
            <c:ext xmlns:c16="http://schemas.microsoft.com/office/drawing/2014/chart" uri="{C3380CC4-5D6E-409C-BE32-E72D297353CC}">
              <c16:uniqueId val="{00000000-8016-451C-B45B-A424446171BE}"/>
            </c:ext>
          </c:extLst>
        </c:ser>
        <c:ser>
          <c:idx val="1"/>
          <c:order val="1"/>
          <c:tx>
            <c:v>工业生产者出厂价格</c:v>
          </c:tx>
          <c:spPr>
            <a:ln w="12700">
              <a:solidFill>
                <a:srgbClr val="FF00FF"/>
              </a:solidFill>
              <a:prstDash val="solid"/>
            </a:ln>
          </c:spPr>
          <c:marker>
            <c:symbol val="square"/>
            <c:size val="5"/>
            <c:spPr>
              <a:solidFill>
                <a:srgbClr val="FF00FF"/>
              </a:solidFill>
              <a:ln>
                <a:solidFill>
                  <a:srgbClr val="FF00FF"/>
                </a:solidFill>
                <a:prstDash val="solid"/>
              </a:ln>
            </c:spPr>
          </c:marker>
          <c:cat>
            <c:strRef>
              <c:f>价格增长率!$A$31:$A$64</c:f>
              <c:strCache>
                <c:ptCount val="34"/>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strCache>
            </c:strRef>
          </c:cat>
          <c:val>
            <c:numRef>
              <c:f>价格增长率!$C$31:$C$64</c:f>
              <c:numCache>
                <c:formatCode>General</c:formatCode>
                <c:ptCount val="34"/>
                <c:pt idx="0">
                  <c:v>5.2</c:v>
                </c:pt>
                <c:pt idx="1">
                  <c:v>6.8</c:v>
                </c:pt>
                <c:pt idx="2">
                  <c:v>4.5</c:v>
                </c:pt>
                <c:pt idx="3">
                  <c:v>5.5</c:v>
                </c:pt>
                <c:pt idx="4">
                  <c:v>7.1</c:v>
                </c:pt>
                <c:pt idx="5">
                  <c:v>6.9</c:v>
                </c:pt>
                <c:pt idx="6">
                  <c:v>7</c:v>
                </c:pt>
                <c:pt idx="7">
                  <c:v>3</c:v>
                </c:pt>
                <c:pt idx="8">
                  <c:v>0.1</c:v>
                </c:pt>
                <c:pt idx="9">
                  <c:v>-1.3</c:v>
                </c:pt>
                <c:pt idx="10">
                  <c:v>-3.3</c:v>
                </c:pt>
                <c:pt idx="11">
                  <c:v>-2.2999999999999998</c:v>
                </c:pt>
                <c:pt idx="12">
                  <c:v>-1.7</c:v>
                </c:pt>
                <c:pt idx="13">
                  <c:v>-2.7</c:v>
                </c:pt>
                <c:pt idx="14">
                  <c:v>-1.9000000000000001</c:v>
                </c:pt>
                <c:pt idx="15">
                  <c:v>-1.3</c:v>
                </c:pt>
                <c:pt idx="16">
                  <c:v>-2</c:v>
                </c:pt>
                <c:pt idx="17">
                  <c:v>-1.6</c:v>
                </c:pt>
                <c:pt idx="18">
                  <c:v>-1.2</c:v>
                </c:pt>
                <c:pt idx="19">
                  <c:v>-2.8</c:v>
                </c:pt>
                <c:pt idx="20">
                  <c:v>-4.5999999999999996</c:v>
                </c:pt>
                <c:pt idx="21">
                  <c:v>-4.5999999999999996</c:v>
                </c:pt>
                <c:pt idx="22">
                  <c:v>-5.8</c:v>
                </c:pt>
                <c:pt idx="23">
                  <c:v>-5.8</c:v>
                </c:pt>
                <c:pt idx="24">
                  <c:v>-4.8</c:v>
                </c:pt>
                <c:pt idx="25">
                  <c:v>-3</c:v>
                </c:pt>
                <c:pt idx="26">
                  <c:v>-0.9</c:v>
                </c:pt>
                <c:pt idx="27">
                  <c:v>3.1</c:v>
                </c:pt>
                <c:pt idx="28">
                  <c:v>7.4</c:v>
                </c:pt>
                <c:pt idx="29">
                  <c:v>5.8</c:v>
                </c:pt>
                <c:pt idx="30">
                  <c:v>6.3</c:v>
                </c:pt>
                <c:pt idx="31">
                  <c:v>5.7</c:v>
                </c:pt>
                <c:pt idx="32">
                  <c:v>3.7</c:v>
                </c:pt>
                <c:pt idx="33">
                  <c:v>4.0999999999999996</c:v>
                </c:pt>
              </c:numCache>
            </c:numRef>
          </c:val>
          <c:extLst xmlns:c16r2="http://schemas.microsoft.com/office/drawing/2015/06/chart">
            <c:ext xmlns:c16="http://schemas.microsoft.com/office/drawing/2014/chart" uri="{C3380CC4-5D6E-409C-BE32-E72D297353CC}">
              <c16:uniqueId val="{00000001-8016-451C-B45B-A424446171BE}"/>
            </c:ext>
          </c:extLst>
        </c:ser>
        <c:ser>
          <c:idx val="2"/>
          <c:order val="2"/>
          <c:tx>
            <c:v>工业生产者购进价格</c:v>
          </c:tx>
          <c:spPr>
            <a:ln w="12700">
              <a:solidFill>
                <a:srgbClr val="800080"/>
              </a:solidFill>
              <a:prstDash val="solid"/>
            </a:ln>
          </c:spPr>
          <c:marker>
            <c:symbol val="triangle"/>
            <c:size val="5"/>
            <c:spPr>
              <a:solidFill>
                <a:srgbClr val="800080"/>
              </a:solidFill>
              <a:ln>
                <a:solidFill>
                  <a:srgbClr val="800080"/>
                </a:solidFill>
                <a:prstDash val="solid"/>
              </a:ln>
            </c:spPr>
          </c:marker>
          <c:cat>
            <c:strRef>
              <c:f>价格增长率!$A$31:$A$64</c:f>
              <c:strCache>
                <c:ptCount val="34"/>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strCache>
            </c:strRef>
          </c:cat>
          <c:val>
            <c:numRef>
              <c:f>价格增长率!$D$31:$D$64</c:f>
              <c:numCache>
                <c:formatCode>General</c:formatCode>
                <c:ptCount val="34"/>
                <c:pt idx="0">
                  <c:v>9.9</c:v>
                </c:pt>
                <c:pt idx="1">
                  <c:v>11.7</c:v>
                </c:pt>
                <c:pt idx="2">
                  <c:v>7.8</c:v>
                </c:pt>
                <c:pt idx="3">
                  <c:v>9</c:v>
                </c:pt>
                <c:pt idx="4">
                  <c:v>10.200000000000001</c:v>
                </c:pt>
                <c:pt idx="5">
                  <c:v>10.4</c:v>
                </c:pt>
                <c:pt idx="6">
                  <c:v>10.6</c:v>
                </c:pt>
                <c:pt idx="7">
                  <c:v>5.2</c:v>
                </c:pt>
                <c:pt idx="8">
                  <c:v>1</c:v>
                </c:pt>
                <c:pt idx="9">
                  <c:v>-1.6</c:v>
                </c:pt>
                <c:pt idx="10">
                  <c:v>-3.9</c:v>
                </c:pt>
                <c:pt idx="11">
                  <c:v>-2.7</c:v>
                </c:pt>
                <c:pt idx="12">
                  <c:v>-1.9000000000000001</c:v>
                </c:pt>
                <c:pt idx="13">
                  <c:v>-2.9</c:v>
                </c:pt>
                <c:pt idx="14">
                  <c:v>-1.8</c:v>
                </c:pt>
                <c:pt idx="15">
                  <c:v>-1.4</c:v>
                </c:pt>
                <c:pt idx="16">
                  <c:v>-2.1</c:v>
                </c:pt>
                <c:pt idx="17">
                  <c:v>-1.9000000000000001</c:v>
                </c:pt>
                <c:pt idx="18">
                  <c:v>-1.4</c:v>
                </c:pt>
                <c:pt idx="19">
                  <c:v>-3.4</c:v>
                </c:pt>
                <c:pt idx="20">
                  <c:v>-5.6</c:v>
                </c:pt>
                <c:pt idx="21">
                  <c:v>-5.4</c:v>
                </c:pt>
                <c:pt idx="22">
                  <c:v>-6.7</c:v>
                </c:pt>
                <c:pt idx="23">
                  <c:v>-6.7</c:v>
                </c:pt>
                <c:pt idx="24">
                  <c:v>-5.8</c:v>
                </c:pt>
                <c:pt idx="25">
                  <c:v>-3.8</c:v>
                </c:pt>
                <c:pt idx="26">
                  <c:v>-1.8</c:v>
                </c:pt>
                <c:pt idx="27">
                  <c:v>3.4</c:v>
                </c:pt>
                <c:pt idx="28">
                  <c:v>9.4</c:v>
                </c:pt>
                <c:pt idx="29">
                  <c:v>8</c:v>
                </c:pt>
                <c:pt idx="30">
                  <c:v>7.8</c:v>
                </c:pt>
                <c:pt idx="31">
                  <c:v>7.2</c:v>
                </c:pt>
                <c:pt idx="32">
                  <c:v>4.4000000000000004</c:v>
                </c:pt>
                <c:pt idx="33">
                  <c:v>4.4000000000000004</c:v>
                </c:pt>
              </c:numCache>
            </c:numRef>
          </c:val>
          <c:extLst xmlns:c16r2="http://schemas.microsoft.com/office/drawing/2015/06/chart">
            <c:ext xmlns:c16="http://schemas.microsoft.com/office/drawing/2014/chart" uri="{C3380CC4-5D6E-409C-BE32-E72D297353CC}">
              <c16:uniqueId val="{00000002-8016-451C-B45B-A424446171BE}"/>
            </c:ext>
          </c:extLst>
        </c:ser>
        <c:marker val="1"/>
        <c:axId val="91121152"/>
        <c:axId val="91123072"/>
      </c:lineChart>
      <c:catAx>
        <c:axId val="91121152"/>
        <c:scaling>
          <c:orientation val="minMax"/>
        </c:scaling>
        <c:axPos val="b"/>
        <c:numFmt formatCode="General" sourceLinked="1"/>
        <c:majorTickMark val="in"/>
        <c:tickLblPos val="nextTo"/>
        <c:spPr>
          <a:ln w="3175">
            <a:solidFill>
              <a:srgbClr val="000000"/>
            </a:solidFill>
            <a:prstDash val="solid"/>
          </a:ln>
        </c:spPr>
        <c:txPr>
          <a:bodyPr rot="-5400000" vert="horz"/>
          <a:lstStyle/>
          <a:p>
            <a:pPr>
              <a:defRPr sz="1200" b="0" i="0" u="none" strike="noStrike" baseline="0">
                <a:solidFill>
                  <a:srgbClr val="000000"/>
                </a:solidFill>
                <a:latin typeface="宋体"/>
                <a:ea typeface="宋体"/>
                <a:cs typeface="宋体"/>
              </a:defRPr>
            </a:pPr>
            <a:endParaRPr lang="zh-CN"/>
          </a:p>
        </c:txPr>
        <c:crossAx val="91123072"/>
        <c:crosses val="autoZero"/>
        <c:auto val="1"/>
        <c:lblAlgn val="ctr"/>
        <c:lblOffset val="100"/>
        <c:tickLblSkip val="1"/>
        <c:tickMarkSkip val="1"/>
      </c:catAx>
      <c:valAx>
        <c:axId val="91123072"/>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91121152"/>
        <c:crosses val="autoZero"/>
        <c:crossBetween val="midCat"/>
      </c:valAx>
      <c:spPr>
        <a:solidFill>
          <a:srgbClr val="FFFFFF"/>
        </a:solidFill>
        <a:ln w="3175">
          <a:solidFill>
            <a:srgbClr val="000000"/>
          </a:solidFill>
          <a:prstDash val="solid"/>
        </a:ln>
      </c:spPr>
    </c:plotArea>
    <c:legend>
      <c:legendPos val="b"/>
      <c:layout>
        <c:manualLayout>
          <c:xMode val="edge"/>
          <c:yMode val="edge"/>
          <c:x val="0.14070369344535449"/>
          <c:y val="0.90344827586206677"/>
          <c:w val="0.71859419582602357"/>
          <c:h val="7.5862068965517324E-2"/>
        </c:manualLayout>
      </c:layout>
      <c:spPr>
        <a:solidFill>
          <a:srgbClr val="FFFFFF"/>
        </a:solidFill>
        <a:ln w="25400">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200" b="0" i="0" u="none" strike="noStrike" baseline="0">
                <a:solidFill>
                  <a:srgbClr val="000000"/>
                </a:solidFill>
                <a:latin typeface="宋体"/>
                <a:ea typeface="宋体"/>
                <a:cs typeface="宋体"/>
              </a:defRPr>
            </a:pPr>
            <a:r>
              <a:rPr lang="zh-CN" altLang="en-US" sz="1200" b="0" i="0" u="none" strike="noStrike" baseline="0">
                <a:solidFill>
                  <a:srgbClr val="000000"/>
                </a:solidFill>
                <a:latin typeface="宋体"/>
                <a:ea typeface="宋体"/>
              </a:rPr>
              <a:t>投资与消费单季同比增长率（%）</a:t>
            </a:r>
          </a:p>
        </c:rich>
      </c:tx>
      <c:layout>
        <c:manualLayout>
          <c:xMode val="edge"/>
          <c:yMode val="edge"/>
          <c:x val="0.27095577965035195"/>
          <c:y val="3.5483870967742012E-2"/>
        </c:manualLayout>
      </c:layout>
      <c:spPr>
        <a:noFill/>
        <a:ln w="25400">
          <a:noFill/>
        </a:ln>
      </c:spPr>
    </c:title>
    <c:plotArea>
      <c:layout>
        <c:manualLayout>
          <c:layoutTarget val="inner"/>
          <c:xMode val="edge"/>
          <c:yMode val="edge"/>
          <c:x val="6.8226250735278715E-2"/>
          <c:y val="0.19032288042288373"/>
          <c:w val="0.86160008071409344"/>
          <c:h val="0.47742010682350605"/>
        </c:manualLayout>
      </c:layout>
      <c:lineChart>
        <c:grouping val="standard"/>
        <c:ser>
          <c:idx val="0"/>
          <c:order val="0"/>
          <c:tx>
            <c:v>固定资产投资</c:v>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Sheet1!$A$32:$A$65</c:f>
              <c:strCache>
                <c:ptCount val="34"/>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strCache>
            </c:strRef>
          </c:cat>
          <c:val>
            <c:numRef>
              <c:f>Sheet1!$B$32:$B$65</c:f>
              <c:numCache>
                <c:formatCode>General</c:formatCode>
                <c:ptCount val="34"/>
                <c:pt idx="0">
                  <c:v>25.6</c:v>
                </c:pt>
                <c:pt idx="1">
                  <c:v>24.4</c:v>
                </c:pt>
                <c:pt idx="2">
                  <c:v>22</c:v>
                </c:pt>
                <c:pt idx="3">
                  <c:v>23.2</c:v>
                </c:pt>
                <c:pt idx="4">
                  <c:v>25</c:v>
                </c:pt>
                <c:pt idx="5">
                  <c:v>26.2</c:v>
                </c:pt>
                <c:pt idx="6">
                  <c:v>23.5</c:v>
                </c:pt>
                <c:pt idx="7">
                  <c:v>20.5</c:v>
                </c:pt>
                <c:pt idx="8">
                  <c:v>20.9</c:v>
                </c:pt>
                <c:pt idx="9">
                  <c:v>19.899999999999999</c:v>
                </c:pt>
                <c:pt idx="10">
                  <c:v>20.7</c:v>
                </c:pt>
                <c:pt idx="11">
                  <c:v>20.9</c:v>
                </c:pt>
                <c:pt idx="12">
                  <c:v>20.9</c:v>
                </c:pt>
                <c:pt idx="13">
                  <c:v>19.3</c:v>
                </c:pt>
                <c:pt idx="14">
                  <c:v>20.399999999999999</c:v>
                </c:pt>
                <c:pt idx="15">
                  <c:v>17.8</c:v>
                </c:pt>
                <c:pt idx="16">
                  <c:v>17.600000000000001</c:v>
                </c:pt>
                <c:pt idx="17">
                  <c:v>17</c:v>
                </c:pt>
                <c:pt idx="18">
                  <c:v>13.7</c:v>
                </c:pt>
                <c:pt idx="19">
                  <c:v>14.5</c:v>
                </c:pt>
                <c:pt idx="20">
                  <c:v>13.5</c:v>
                </c:pt>
                <c:pt idx="21">
                  <c:v>9.3000000000000007</c:v>
                </c:pt>
                <c:pt idx="22">
                  <c:v>8.1</c:v>
                </c:pt>
                <c:pt idx="23">
                  <c:v>9.1</c:v>
                </c:pt>
                <c:pt idx="24">
                  <c:v>10.7</c:v>
                </c:pt>
                <c:pt idx="25">
                  <c:v>7.3</c:v>
                </c:pt>
                <c:pt idx="26">
                  <c:v>6.6</c:v>
                </c:pt>
                <c:pt idx="27">
                  <c:v>7.8</c:v>
                </c:pt>
                <c:pt idx="28">
                  <c:v>9.2000000000000011</c:v>
                </c:pt>
                <c:pt idx="29">
                  <c:v>8</c:v>
                </c:pt>
                <c:pt idx="30">
                  <c:v>6.1</c:v>
                </c:pt>
                <c:pt idx="31">
                  <c:v>5.5</c:v>
                </c:pt>
                <c:pt idx="32">
                  <c:v>6.2</c:v>
                </c:pt>
                <c:pt idx="33">
                  <c:v>5.8</c:v>
                </c:pt>
              </c:numCache>
            </c:numRef>
          </c:val>
          <c:extLst xmlns:c16r2="http://schemas.microsoft.com/office/drawing/2015/06/chart">
            <c:ext xmlns:c16="http://schemas.microsoft.com/office/drawing/2014/chart" uri="{C3380CC4-5D6E-409C-BE32-E72D297353CC}">
              <c16:uniqueId val="{00000000-079E-4676-A11E-9D7A7FEE1063}"/>
            </c:ext>
          </c:extLst>
        </c:ser>
        <c:ser>
          <c:idx val="1"/>
          <c:order val="1"/>
          <c:tx>
            <c:v>社会消费品零售总额</c:v>
          </c:tx>
          <c:spPr>
            <a:ln w="12700">
              <a:solidFill>
                <a:srgbClr val="FF00FF"/>
              </a:solidFill>
              <a:prstDash val="solid"/>
            </a:ln>
          </c:spPr>
          <c:marker>
            <c:symbol val="square"/>
            <c:size val="5"/>
            <c:spPr>
              <a:solidFill>
                <a:srgbClr val="FF00FF"/>
              </a:solidFill>
              <a:ln>
                <a:solidFill>
                  <a:srgbClr val="FF00FF"/>
                </a:solidFill>
                <a:prstDash val="solid"/>
              </a:ln>
            </c:spPr>
          </c:marker>
          <c:cat>
            <c:strRef>
              <c:f>Sheet1!$A$32:$A$65</c:f>
              <c:strCache>
                <c:ptCount val="34"/>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strCache>
            </c:strRef>
          </c:cat>
          <c:val>
            <c:numRef>
              <c:f>Sheet1!$C$32:$C$65</c:f>
              <c:numCache>
                <c:formatCode>General</c:formatCode>
                <c:ptCount val="34"/>
                <c:pt idx="0">
                  <c:v>17.899999999999999</c:v>
                </c:pt>
                <c:pt idx="1">
                  <c:v>18.5</c:v>
                </c:pt>
                <c:pt idx="2">
                  <c:v>18.5</c:v>
                </c:pt>
                <c:pt idx="3">
                  <c:v>18.7</c:v>
                </c:pt>
                <c:pt idx="4">
                  <c:v>16.3</c:v>
                </c:pt>
                <c:pt idx="5">
                  <c:v>17.3</c:v>
                </c:pt>
                <c:pt idx="6">
                  <c:v>17.399999999999999</c:v>
                </c:pt>
                <c:pt idx="7">
                  <c:v>17.399999999999999</c:v>
                </c:pt>
                <c:pt idx="8">
                  <c:v>14.8</c:v>
                </c:pt>
                <c:pt idx="9">
                  <c:v>14</c:v>
                </c:pt>
                <c:pt idx="10">
                  <c:v>13.5</c:v>
                </c:pt>
                <c:pt idx="11">
                  <c:v>14.9</c:v>
                </c:pt>
                <c:pt idx="12">
                  <c:v>12.4</c:v>
                </c:pt>
                <c:pt idx="13">
                  <c:v>13</c:v>
                </c:pt>
                <c:pt idx="14">
                  <c:v>13.3</c:v>
                </c:pt>
                <c:pt idx="15">
                  <c:v>13.7</c:v>
                </c:pt>
                <c:pt idx="16">
                  <c:v>12</c:v>
                </c:pt>
                <c:pt idx="17">
                  <c:v>12.2</c:v>
                </c:pt>
                <c:pt idx="18">
                  <c:v>11.8</c:v>
                </c:pt>
                <c:pt idx="19">
                  <c:v>12</c:v>
                </c:pt>
                <c:pt idx="20">
                  <c:v>10.6</c:v>
                </c:pt>
                <c:pt idx="21">
                  <c:v>10.200000000000001</c:v>
                </c:pt>
                <c:pt idx="22">
                  <c:v>10.7</c:v>
                </c:pt>
                <c:pt idx="23">
                  <c:v>11.3</c:v>
                </c:pt>
                <c:pt idx="24">
                  <c:v>10.3</c:v>
                </c:pt>
                <c:pt idx="25">
                  <c:v>10.3</c:v>
                </c:pt>
                <c:pt idx="26">
                  <c:v>10.6</c:v>
                </c:pt>
                <c:pt idx="27">
                  <c:v>10.4</c:v>
                </c:pt>
                <c:pt idx="28">
                  <c:v>10</c:v>
                </c:pt>
                <c:pt idx="29">
                  <c:v>10.8</c:v>
                </c:pt>
                <c:pt idx="30">
                  <c:v>10.4</c:v>
                </c:pt>
                <c:pt idx="31">
                  <c:v>9.6</c:v>
                </c:pt>
                <c:pt idx="32">
                  <c:v>9.8000000000000007</c:v>
                </c:pt>
                <c:pt idx="33">
                  <c:v>9</c:v>
                </c:pt>
              </c:numCache>
            </c:numRef>
          </c:val>
          <c:extLst xmlns:c16r2="http://schemas.microsoft.com/office/drawing/2015/06/chart">
            <c:ext xmlns:c16="http://schemas.microsoft.com/office/drawing/2014/chart" uri="{C3380CC4-5D6E-409C-BE32-E72D297353CC}">
              <c16:uniqueId val="{00000001-079E-4676-A11E-9D7A7FEE1063}"/>
            </c:ext>
          </c:extLst>
        </c:ser>
        <c:marker val="1"/>
        <c:axId val="91210112"/>
        <c:axId val="91212032"/>
      </c:lineChart>
      <c:catAx>
        <c:axId val="91210112"/>
        <c:scaling>
          <c:orientation val="minMax"/>
        </c:scaling>
        <c:axPos val="b"/>
        <c:numFmt formatCode="General" sourceLinked="1"/>
        <c:majorTickMark val="in"/>
        <c:tickLblPos val="nextTo"/>
        <c:spPr>
          <a:ln w="3175">
            <a:solidFill>
              <a:srgbClr val="000000"/>
            </a:solidFill>
            <a:prstDash val="solid"/>
          </a:ln>
        </c:spPr>
        <c:txPr>
          <a:bodyPr rot="-5400000" vert="horz"/>
          <a:lstStyle/>
          <a:p>
            <a:pPr>
              <a:defRPr sz="1200" b="0" i="0" u="none" strike="noStrike" baseline="0">
                <a:solidFill>
                  <a:srgbClr val="000000"/>
                </a:solidFill>
                <a:latin typeface="宋体"/>
                <a:ea typeface="宋体"/>
                <a:cs typeface="宋体"/>
              </a:defRPr>
            </a:pPr>
            <a:endParaRPr lang="zh-CN"/>
          </a:p>
        </c:txPr>
        <c:crossAx val="91212032"/>
        <c:crosses val="autoZero"/>
        <c:auto val="1"/>
        <c:lblAlgn val="ctr"/>
        <c:lblOffset val="100"/>
        <c:tickLblSkip val="1"/>
        <c:tickMarkSkip val="1"/>
      </c:catAx>
      <c:valAx>
        <c:axId val="91212032"/>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91210112"/>
        <c:crosses val="autoZero"/>
        <c:crossBetween val="midCat"/>
      </c:valAx>
      <c:spPr>
        <a:solidFill>
          <a:srgbClr val="FFFFFF"/>
        </a:solidFill>
        <a:ln w="12700">
          <a:solidFill>
            <a:srgbClr val="808080"/>
          </a:solidFill>
          <a:prstDash val="solid"/>
        </a:ln>
      </c:spPr>
    </c:plotArea>
    <c:legend>
      <c:legendPos val="b"/>
      <c:layout>
        <c:manualLayout>
          <c:xMode val="edge"/>
          <c:yMode val="edge"/>
          <c:x val="0.22027331378899273"/>
          <c:y val="0.90967877402421471"/>
          <c:w val="0.5594552142970437"/>
          <c:h val="7.0967741935484024E-2"/>
        </c:manualLayout>
      </c:layout>
      <c:spPr>
        <a:solidFill>
          <a:srgbClr val="FFFFFF"/>
        </a:solidFill>
        <a:ln w="25400">
          <a:noFill/>
        </a:ln>
      </c:spPr>
      <c:txPr>
        <a:bodyPr/>
        <a:lstStyle/>
        <a:p>
          <a:pPr>
            <a:defRPr sz="1100"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000" b="0" i="0" u="none" strike="noStrike" baseline="0">
                <a:solidFill>
                  <a:srgbClr val="000000"/>
                </a:solidFill>
                <a:latin typeface="Arial"/>
                <a:ea typeface="Arial"/>
                <a:cs typeface="Arial"/>
              </a:defRPr>
            </a:pPr>
            <a:r>
              <a:rPr lang="zh-CN" altLang="en-US" sz="1200" b="0" i="0" u="none" strike="noStrike" baseline="0">
                <a:solidFill>
                  <a:srgbClr val="000000"/>
                </a:solidFill>
                <a:latin typeface="Arial"/>
                <a:cs typeface="Arial"/>
              </a:rPr>
              <a:t>进出口单季增长率与贸易顺差单季值（%，亿美元）</a:t>
            </a:r>
          </a:p>
        </c:rich>
      </c:tx>
      <c:layout>
        <c:manualLayout>
          <c:xMode val="edge"/>
          <c:yMode val="edge"/>
          <c:x val="0.18619146290924171"/>
          <c:y val="6.1290322580645158E-2"/>
        </c:manualLayout>
      </c:layout>
      <c:spPr>
        <a:noFill/>
        <a:ln w="25400">
          <a:noFill/>
        </a:ln>
      </c:spPr>
    </c:title>
    <c:plotArea>
      <c:layout>
        <c:manualLayout>
          <c:layoutTarget val="inner"/>
          <c:xMode val="edge"/>
          <c:yMode val="edge"/>
          <c:x val="7.6400742453395634E-2"/>
          <c:y val="0.19677450348806622"/>
          <c:w val="0.83191919560364169"/>
          <c:h val="0.651613929583435"/>
        </c:manualLayout>
      </c:layout>
      <c:barChart>
        <c:barDir val="col"/>
        <c:grouping val="clustered"/>
        <c:ser>
          <c:idx val="2"/>
          <c:order val="2"/>
          <c:tx>
            <c:v>顺差</c:v>
          </c:tx>
          <c:spPr>
            <a:ln w="12700">
              <a:solidFill>
                <a:srgbClr val="800080"/>
              </a:solidFill>
              <a:prstDash val="solid"/>
            </a:ln>
          </c:spPr>
          <c:cat>
            <c:strRef>
              <c:f>进出口增长率及汇率!$A$32:$A$65</c:f>
              <c:strCache>
                <c:ptCount val="34"/>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strCache>
            </c:strRef>
          </c:cat>
          <c:val>
            <c:numRef>
              <c:f>进出口增长率及汇率!$D$32:$D$65</c:f>
              <c:numCache>
                <c:formatCode>General</c:formatCode>
                <c:ptCount val="34"/>
                <c:pt idx="0">
                  <c:v>144.9</c:v>
                </c:pt>
                <c:pt idx="1">
                  <c:v>408.1</c:v>
                </c:pt>
                <c:pt idx="2">
                  <c:v>653</c:v>
                </c:pt>
                <c:pt idx="3">
                  <c:v>625</c:v>
                </c:pt>
                <c:pt idx="4">
                  <c:v>-10</c:v>
                </c:pt>
                <c:pt idx="5">
                  <c:v>-8.2000000000000011</c:v>
                </c:pt>
                <c:pt idx="6">
                  <c:v>18.899999999999999</c:v>
                </c:pt>
                <c:pt idx="7">
                  <c:v>-3.4</c:v>
                </c:pt>
                <c:pt idx="8">
                  <c:v>6.7</c:v>
                </c:pt>
                <c:pt idx="9">
                  <c:v>682.5</c:v>
                </c:pt>
                <c:pt idx="10">
                  <c:v>800.5</c:v>
                </c:pt>
                <c:pt idx="11">
                  <c:v>821.3</c:v>
                </c:pt>
                <c:pt idx="12">
                  <c:v>430.7</c:v>
                </c:pt>
                <c:pt idx="13">
                  <c:v>648.79999999999995</c:v>
                </c:pt>
                <c:pt idx="14">
                  <c:v>614.5</c:v>
                </c:pt>
                <c:pt idx="15">
                  <c:v>903.5</c:v>
                </c:pt>
                <c:pt idx="16">
                  <c:v>167.4</c:v>
                </c:pt>
                <c:pt idx="17">
                  <c:v>861.3</c:v>
                </c:pt>
                <c:pt idx="18">
                  <c:v>1287.3</c:v>
                </c:pt>
                <c:pt idx="19">
                  <c:v>1508.6</c:v>
                </c:pt>
                <c:pt idx="20">
                  <c:v>1237</c:v>
                </c:pt>
                <c:pt idx="21">
                  <c:v>1364</c:v>
                </c:pt>
                <c:pt idx="22">
                  <c:v>1493</c:v>
                </c:pt>
                <c:pt idx="23">
                  <c:v>1490</c:v>
                </c:pt>
                <c:pt idx="24">
                  <c:v>1257</c:v>
                </c:pt>
                <c:pt idx="25">
                  <c:v>1325</c:v>
                </c:pt>
                <c:pt idx="26">
                  <c:v>1334</c:v>
                </c:pt>
                <c:pt idx="27">
                  <c:v>900</c:v>
                </c:pt>
                <c:pt idx="28">
                  <c:v>660.6</c:v>
                </c:pt>
                <c:pt idx="29">
                  <c:v>1886.8</c:v>
                </c:pt>
                <c:pt idx="30">
                  <c:v>514.5</c:v>
                </c:pt>
                <c:pt idx="31">
                  <c:v>1480</c:v>
                </c:pt>
                <c:pt idx="32">
                  <c:v>518.70000000000005</c:v>
                </c:pt>
                <c:pt idx="33">
                  <c:v>826</c:v>
                </c:pt>
              </c:numCache>
            </c:numRef>
          </c:val>
          <c:extLst xmlns:c16r2="http://schemas.microsoft.com/office/drawing/2015/06/chart">
            <c:ext xmlns:c16="http://schemas.microsoft.com/office/drawing/2014/chart" uri="{C3380CC4-5D6E-409C-BE32-E72D297353CC}">
              <c16:uniqueId val="{00000000-11CB-44B6-88CC-4FDEA399E61E}"/>
            </c:ext>
          </c:extLst>
        </c:ser>
        <c:gapWidth val="210"/>
        <c:axId val="91378816"/>
        <c:axId val="91380352"/>
      </c:barChart>
      <c:lineChart>
        <c:grouping val="standard"/>
        <c:ser>
          <c:idx val="1"/>
          <c:order val="0"/>
          <c:tx>
            <c:v>进口</c:v>
          </c:tx>
          <c:spPr>
            <a:ln w="12700">
              <a:solidFill>
                <a:srgbClr val="FF00FF"/>
              </a:solidFill>
              <a:prstDash val="solid"/>
            </a:ln>
          </c:spPr>
          <c:marker>
            <c:symbol val="square"/>
            <c:size val="5"/>
            <c:spPr>
              <a:solidFill>
                <a:srgbClr val="FF00FF"/>
              </a:solidFill>
              <a:ln>
                <a:solidFill>
                  <a:srgbClr val="FF00FF"/>
                </a:solidFill>
                <a:prstDash val="solid"/>
              </a:ln>
            </c:spPr>
          </c:marker>
          <c:cat>
            <c:strRef>
              <c:f>进出口增长率及汇率!$A$32:$A$65</c:f>
              <c:strCache>
                <c:ptCount val="34"/>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strCache>
            </c:strRef>
          </c:cat>
          <c:val>
            <c:numRef>
              <c:f>进出口增长率及汇率!$B$32:$B$65</c:f>
              <c:numCache>
                <c:formatCode>General</c:formatCode>
                <c:ptCount val="34"/>
                <c:pt idx="0">
                  <c:v>64.599999999999994</c:v>
                </c:pt>
                <c:pt idx="1">
                  <c:v>40.800000000000004</c:v>
                </c:pt>
                <c:pt idx="2">
                  <c:v>21.8</c:v>
                </c:pt>
                <c:pt idx="3">
                  <c:v>27.6</c:v>
                </c:pt>
                <c:pt idx="4">
                  <c:v>32.6</c:v>
                </c:pt>
                <c:pt idx="5">
                  <c:v>22.6</c:v>
                </c:pt>
                <c:pt idx="6">
                  <c:v>24.9</c:v>
                </c:pt>
                <c:pt idx="7">
                  <c:v>19.5</c:v>
                </c:pt>
                <c:pt idx="8">
                  <c:v>6.9</c:v>
                </c:pt>
                <c:pt idx="9">
                  <c:v>6.5</c:v>
                </c:pt>
                <c:pt idx="10">
                  <c:v>1</c:v>
                </c:pt>
                <c:pt idx="11">
                  <c:v>2.8</c:v>
                </c:pt>
                <c:pt idx="12">
                  <c:v>8.4</c:v>
                </c:pt>
                <c:pt idx="13">
                  <c:v>5</c:v>
                </c:pt>
                <c:pt idx="14">
                  <c:v>8.5</c:v>
                </c:pt>
                <c:pt idx="15">
                  <c:v>7.3</c:v>
                </c:pt>
                <c:pt idx="16">
                  <c:v>1.6</c:v>
                </c:pt>
                <c:pt idx="17">
                  <c:v>1.4</c:v>
                </c:pt>
                <c:pt idx="18">
                  <c:v>0.9</c:v>
                </c:pt>
                <c:pt idx="19">
                  <c:v>-6.3</c:v>
                </c:pt>
                <c:pt idx="20">
                  <c:v>-17.3</c:v>
                </c:pt>
                <c:pt idx="21">
                  <c:v>-13.7</c:v>
                </c:pt>
                <c:pt idx="22">
                  <c:v>-14.3</c:v>
                </c:pt>
                <c:pt idx="23">
                  <c:v>-7.5</c:v>
                </c:pt>
                <c:pt idx="24">
                  <c:v>-8.2000000000000011</c:v>
                </c:pt>
                <c:pt idx="25">
                  <c:v>-6</c:v>
                </c:pt>
                <c:pt idx="26">
                  <c:v>7.3</c:v>
                </c:pt>
                <c:pt idx="27">
                  <c:v>9.3000000000000007</c:v>
                </c:pt>
                <c:pt idx="28">
                  <c:v>31.1</c:v>
                </c:pt>
                <c:pt idx="29">
                  <c:v>20.3</c:v>
                </c:pt>
                <c:pt idx="30">
                  <c:v>15.5</c:v>
                </c:pt>
                <c:pt idx="31">
                  <c:v>7.9</c:v>
                </c:pt>
                <c:pt idx="32">
                  <c:v>11.9</c:v>
                </c:pt>
                <c:pt idx="33">
                  <c:v>11.1</c:v>
                </c:pt>
              </c:numCache>
            </c:numRef>
          </c:val>
          <c:extLst xmlns:c16r2="http://schemas.microsoft.com/office/drawing/2015/06/chart">
            <c:ext xmlns:c16="http://schemas.microsoft.com/office/drawing/2014/chart" uri="{C3380CC4-5D6E-409C-BE32-E72D297353CC}">
              <c16:uniqueId val="{00000001-11CB-44B6-88CC-4FDEA399E61E}"/>
            </c:ext>
          </c:extLst>
        </c:ser>
        <c:ser>
          <c:idx val="0"/>
          <c:order val="1"/>
          <c:tx>
            <c:v>出口</c:v>
          </c:tx>
          <c:spPr>
            <a:ln w="12700">
              <a:solidFill>
                <a:srgbClr val="000080"/>
              </a:solidFill>
              <a:prstDash val="solid"/>
            </a:ln>
          </c:spPr>
          <c:marker>
            <c:symbol val="diamond"/>
            <c:size val="5"/>
            <c:spPr>
              <a:solidFill>
                <a:srgbClr val="000080"/>
              </a:solidFill>
              <a:ln>
                <a:solidFill>
                  <a:srgbClr val="000080"/>
                </a:solidFill>
                <a:prstDash val="solid"/>
              </a:ln>
            </c:spPr>
          </c:marker>
          <c:cat>
            <c:strRef>
              <c:f>进出口增长率及汇率!$A$32:$A$65</c:f>
              <c:strCache>
                <c:ptCount val="34"/>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strCache>
            </c:strRef>
          </c:cat>
          <c:val>
            <c:numRef>
              <c:f>进出口增长率及汇率!$C$32:$C$65</c:f>
              <c:numCache>
                <c:formatCode>General</c:formatCode>
                <c:ptCount val="34"/>
                <c:pt idx="0">
                  <c:v>28.7</c:v>
                </c:pt>
                <c:pt idx="1">
                  <c:v>41.7</c:v>
                </c:pt>
                <c:pt idx="2">
                  <c:v>31.6</c:v>
                </c:pt>
                <c:pt idx="3">
                  <c:v>23.2</c:v>
                </c:pt>
                <c:pt idx="4">
                  <c:v>26.5</c:v>
                </c:pt>
                <c:pt idx="5">
                  <c:v>21.5</c:v>
                </c:pt>
                <c:pt idx="6">
                  <c:v>20.100000000000001</c:v>
                </c:pt>
                <c:pt idx="7">
                  <c:v>13.1</c:v>
                </c:pt>
                <c:pt idx="8">
                  <c:v>7.6</c:v>
                </c:pt>
                <c:pt idx="9">
                  <c:v>10.8</c:v>
                </c:pt>
                <c:pt idx="10">
                  <c:v>3.8</c:v>
                </c:pt>
                <c:pt idx="11">
                  <c:v>9.4</c:v>
                </c:pt>
                <c:pt idx="12">
                  <c:v>18.399999999999999</c:v>
                </c:pt>
                <c:pt idx="13">
                  <c:v>2.4</c:v>
                </c:pt>
                <c:pt idx="14">
                  <c:v>3.2</c:v>
                </c:pt>
                <c:pt idx="15">
                  <c:v>6.4</c:v>
                </c:pt>
                <c:pt idx="16">
                  <c:v>-3.4</c:v>
                </c:pt>
                <c:pt idx="17">
                  <c:v>5.2</c:v>
                </c:pt>
                <c:pt idx="18">
                  <c:v>13.5</c:v>
                </c:pt>
                <c:pt idx="19">
                  <c:v>4.3</c:v>
                </c:pt>
                <c:pt idx="20">
                  <c:v>4.9000000000000004</c:v>
                </c:pt>
                <c:pt idx="21">
                  <c:v>-3.1</c:v>
                </c:pt>
                <c:pt idx="22">
                  <c:v>-7.2</c:v>
                </c:pt>
                <c:pt idx="23">
                  <c:v>-1.8</c:v>
                </c:pt>
                <c:pt idx="24">
                  <c:v>-7.9</c:v>
                </c:pt>
                <c:pt idx="25">
                  <c:v>-0.8</c:v>
                </c:pt>
                <c:pt idx="26">
                  <c:v>-0.30000000000000032</c:v>
                </c:pt>
                <c:pt idx="27">
                  <c:v>0.30000000000000032</c:v>
                </c:pt>
                <c:pt idx="28">
                  <c:v>14.8</c:v>
                </c:pt>
                <c:pt idx="29">
                  <c:v>15.2</c:v>
                </c:pt>
                <c:pt idx="30">
                  <c:v>7.2</c:v>
                </c:pt>
                <c:pt idx="31">
                  <c:v>6</c:v>
                </c:pt>
                <c:pt idx="32">
                  <c:v>7.4</c:v>
                </c:pt>
                <c:pt idx="33">
                  <c:v>2.4</c:v>
                </c:pt>
              </c:numCache>
            </c:numRef>
          </c:val>
          <c:extLst xmlns:c16r2="http://schemas.microsoft.com/office/drawing/2015/06/chart">
            <c:ext xmlns:c16="http://schemas.microsoft.com/office/drawing/2014/chart" uri="{C3380CC4-5D6E-409C-BE32-E72D297353CC}">
              <c16:uniqueId val="{00000002-11CB-44B6-88CC-4FDEA399E61E}"/>
            </c:ext>
          </c:extLst>
        </c:ser>
        <c:marker val="1"/>
        <c:axId val="91366912"/>
        <c:axId val="91368832"/>
      </c:lineChart>
      <c:catAx>
        <c:axId val="91366912"/>
        <c:scaling>
          <c:orientation val="minMax"/>
        </c:scaling>
        <c:axPos val="b"/>
        <c:numFmt formatCode="General" sourceLinked="1"/>
        <c:majorTickMark val="in"/>
        <c:tickLblPos val="nextTo"/>
        <c:spPr>
          <a:ln w="3175">
            <a:solidFill>
              <a:srgbClr val="000000"/>
            </a:solidFill>
            <a:prstDash val="solid"/>
          </a:ln>
        </c:spPr>
        <c:txPr>
          <a:bodyPr rot="-5400000" vert="horz"/>
          <a:lstStyle/>
          <a:p>
            <a:pPr>
              <a:defRPr sz="1000" b="0" i="0" u="none" strike="noStrike" baseline="0">
                <a:solidFill>
                  <a:srgbClr val="000000"/>
                </a:solidFill>
                <a:latin typeface="宋体"/>
                <a:ea typeface="宋体"/>
                <a:cs typeface="宋体"/>
              </a:defRPr>
            </a:pPr>
            <a:endParaRPr lang="zh-CN"/>
          </a:p>
        </c:txPr>
        <c:crossAx val="91368832"/>
        <c:crosses val="autoZero"/>
        <c:lblAlgn val="ctr"/>
        <c:lblOffset val="100"/>
        <c:tickLblSkip val="1"/>
        <c:tickMarkSkip val="1"/>
      </c:catAx>
      <c:valAx>
        <c:axId val="91368832"/>
        <c:scaling>
          <c:orientation val="minMax"/>
        </c:scaling>
        <c:axPos val="l"/>
        <c:numFmt formatCode="General" sourceLinked="1"/>
        <c:maj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zh-CN"/>
          </a:p>
        </c:txPr>
        <c:crossAx val="91366912"/>
        <c:crosses val="autoZero"/>
        <c:crossBetween val="between"/>
      </c:valAx>
      <c:catAx>
        <c:axId val="91378816"/>
        <c:scaling>
          <c:orientation val="minMax"/>
        </c:scaling>
        <c:delete val="1"/>
        <c:axPos val="b"/>
        <c:numFmt formatCode="General" sourceLinked="1"/>
        <c:tickLblPos val="none"/>
        <c:crossAx val="91380352"/>
        <c:crosses val="autoZero"/>
        <c:lblAlgn val="ctr"/>
        <c:lblOffset val="100"/>
      </c:catAx>
      <c:valAx>
        <c:axId val="91380352"/>
        <c:scaling>
          <c:orientation val="minMax"/>
        </c:scaling>
        <c:axPos val="r"/>
        <c:numFmt formatCode="General" sourceLinked="1"/>
        <c:tickLblPos val="nextTo"/>
        <c:spPr>
          <a:ln/>
        </c:spPr>
        <c:crossAx val="91378816"/>
        <c:crosses val="max"/>
        <c:crossBetween val="between"/>
      </c:valAx>
      <c:spPr>
        <a:solidFill>
          <a:srgbClr val="FFFFFF"/>
        </a:solidFill>
        <a:ln w="12700">
          <a:solidFill>
            <a:srgbClr val="808080"/>
          </a:solidFill>
          <a:prstDash val="solid"/>
        </a:ln>
      </c:spPr>
    </c:plotArea>
    <c:legend>
      <c:legendPos val="r"/>
      <c:layout>
        <c:manualLayout>
          <c:xMode val="edge"/>
          <c:yMode val="edge"/>
          <c:x val="0.33106960950764258"/>
          <c:y val="0.90322580645161465"/>
          <c:w val="0.32088285229202279"/>
          <c:h val="6.4516129032258132E-2"/>
        </c:manualLayout>
      </c:layout>
      <c:spPr>
        <a:solidFill>
          <a:srgbClr val="FFFFFF"/>
        </a:solidFill>
        <a:ln w="25400">
          <a:noFill/>
        </a:ln>
      </c:spPr>
      <c:txPr>
        <a:bodyPr/>
        <a:lstStyle/>
        <a:p>
          <a:pPr>
            <a:defRPr sz="1000"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2277</TotalTime>
  <Pages>30</Pages>
  <Words>2486</Words>
  <Characters>14171</Characters>
  <Application>Microsoft Office Word</Application>
  <DocSecurity>0</DocSecurity>
  <Lines>118</Lines>
  <Paragraphs>33</Paragraphs>
  <ScaleCrop>false</ScaleCrop>
  <Company>微软中国</Company>
  <LinksUpToDate>false</LinksUpToDate>
  <CharactersWithSpaces>16624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23</cp:revision>
  <dcterms:created xsi:type="dcterms:W3CDTF">2018-07-18T08:10:00Z</dcterms:created>
  <dcterms:modified xsi:type="dcterms:W3CDTF">2018-07-24T00:29:00Z</dcterms:modified>
</cp:coreProperties>
</file>